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890F0">
      <w:pPr>
        <w:jc w:val="center"/>
        <w:rPr>
          <w:sz w:val="36"/>
          <w:szCs w:val="36"/>
        </w:rPr>
      </w:pPr>
      <w:bookmarkStart w:id="0" w:name="_GoBack"/>
      <w:r>
        <w:rPr>
          <w:rFonts w:hint="eastAsia" w:ascii="宋体" w:hAnsi="宋体" w:cs="宋体"/>
          <w:b/>
          <w:bCs/>
          <w:sz w:val="36"/>
          <w:szCs w:val="36"/>
        </w:rPr>
        <w:t>南京邮电大学通达学院</w:t>
      </w:r>
      <w:r>
        <w:rPr>
          <w:rFonts w:hint="eastAsia"/>
          <w:b/>
          <w:bCs/>
          <w:spacing w:val="6"/>
          <w:sz w:val="36"/>
          <w:szCs w:val="36"/>
          <w:lang w:eastAsia="zh-CN"/>
        </w:rPr>
        <w:t>《</w:t>
      </w:r>
      <w:r>
        <w:rPr>
          <w:rFonts w:hint="eastAsia"/>
          <w:b/>
          <w:bCs/>
          <w:spacing w:val="6"/>
          <w:sz w:val="36"/>
          <w:szCs w:val="36"/>
          <w:lang w:val="en-US" w:eastAsia="zh-CN"/>
        </w:rPr>
        <w:t>UI界面设计》数智融合课程建设</w:t>
      </w:r>
      <w:r>
        <w:rPr>
          <w:rFonts w:hint="eastAsia" w:ascii="宋体" w:hAnsi="宋体" w:cs="宋体"/>
          <w:b/>
          <w:bCs/>
          <w:sz w:val="36"/>
          <w:szCs w:val="36"/>
        </w:rPr>
        <w:t>项目评分标准</w:t>
      </w:r>
      <w:bookmarkEnd w:id="0"/>
    </w:p>
    <w:p w14:paraId="31415742"/>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76"/>
        <w:gridCol w:w="1801"/>
        <w:gridCol w:w="795"/>
        <w:gridCol w:w="9300"/>
        <w:gridCol w:w="1395"/>
      </w:tblGrid>
      <w:tr w14:paraId="7E8E36A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98" w:hRule="atLeast"/>
        </w:trPr>
        <w:tc>
          <w:tcPr>
            <w:tcW w:w="776" w:type="dxa"/>
            <w:tcBorders>
              <w:top w:val="single" w:color="000000" w:sz="12" w:space="0"/>
              <w:left w:val="single" w:color="000000" w:sz="12" w:space="0"/>
              <w:bottom w:val="single" w:color="000000" w:sz="4" w:space="0"/>
              <w:right w:val="single" w:color="000000" w:sz="4" w:space="0"/>
              <w:tl2br w:val="nil"/>
            </w:tcBorders>
            <w:shd w:val="clear" w:color="auto" w:fill="FFFFFF"/>
            <w:tcMar>
              <w:top w:w="60" w:type="dxa"/>
              <w:left w:w="120" w:type="dxa"/>
              <w:bottom w:w="30" w:type="dxa"/>
              <w:right w:w="120" w:type="dxa"/>
            </w:tcMar>
          </w:tcPr>
          <w:p w14:paraId="53907687">
            <w:pPr>
              <w:spacing w:before="120" w:after="120" w:line="288" w:lineRule="auto"/>
              <w:ind w:left="0"/>
              <w:jc w:val="center"/>
              <w:rPr>
                <w:b/>
                <w:bCs/>
                <w:color w:val="000000"/>
              </w:rPr>
            </w:pPr>
            <w:r>
              <w:rPr>
                <w:rFonts w:ascii="Arial" w:hAnsi="Arial" w:eastAsia="等线" w:cs="Arial"/>
                <w:b/>
                <w:bCs/>
                <w:color w:val="000000"/>
                <w:sz w:val="22"/>
              </w:rPr>
              <w:t>序号</w:t>
            </w:r>
          </w:p>
        </w:tc>
        <w:tc>
          <w:tcPr>
            <w:tcW w:w="1801" w:type="dxa"/>
            <w:tcBorders>
              <w:top w:val="single" w:color="000000" w:sz="12"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1A236252">
            <w:pPr>
              <w:spacing w:before="120" w:after="120" w:line="288" w:lineRule="auto"/>
              <w:ind w:left="0"/>
              <w:jc w:val="center"/>
              <w:rPr>
                <w:b/>
                <w:bCs/>
                <w:color w:val="000000"/>
              </w:rPr>
            </w:pPr>
            <w:r>
              <w:rPr>
                <w:rFonts w:ascii="Arial" w:hAnsi="Arial" w:eastAsia="等线" w:cs="Arial"/>
                <w:b/>
                <w:bCs/>
                <w:color w:val="000000"/>
                <w:sz w:val="22"/>
              </w:rPr>
              <w:t>评分因素及权重</w:t>
            </w:r>
          </w:p>
        </w:tc>
        <w:tc>
          <w:tcPr>
            <w:tcW w:w="795" w:type="dxa"/>
            <w:tcBorders>
              <w:top w:val="single" w:color="000000" w:sz="12"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6161CB93">
            <w:pPr>
              <w:spacing w:before="120" w:after="120" w:line="288" w:lineRule="auto"/>
              <w:ind w:left="0"/>
              <w:jc w:val="center"/>
              <w:rPr>
                <w:b/>
                <w:bCs/>
                <w:color w:val="000000"/>
              </w:rPr>
            </w:pPr>
            <w:r>
              <w:rPr>
                <w:rFonts w:ascii="Arial" w:hAnsi="Arial" w:eastAsia="等线" w:cs="Arial"/>
                <w:b/>
                <w:bCs/>
                <w:color w:val="000000"/>
                <w:sz w:val="22"/>
              </w:rPr>
              <w:t>分值</w:t>
            </w:r>
          </w:p>
        </w:tc>
        <w:tc>
          <w:tcPr>
            <w:tcW w:w="9300" w:type="dxa"/>
            <w:tcBorders>
              <w:top w:val="single" w:color="000000" w:sz="12"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0EF2B4E2">
            <w:pPr>
              <w:spacing w:before="120" w:after="120" w:line="288" w:lineRule="auto"/>
              <w:ind w:left="0"/>
              <w:jc w:val="center"/>
              <w:rPr>
                <w:b/>
                <w:bCs/>
                <w:color w:val="000000"/>
              </w:rPr>
            </w:pPr>
            <w:r>
              <w:rPr>
                <w:rFonts w:ascii="Arial" w:hAnsi="Arial" w:eastAsia="等线" w:cs="Arial"/>
                <w:b/>
                <w:bCs/>
                <w:color w:val="000000"/>
                <w:sz w:val="22"/>
              </w:rPr>
              <w:t>评分标准</w:t>
            </w:r>
          </w:p>
        </w:tc>
        <w:tc>
          <w:tcPr>
            <w:tcW w:w="1395" w:type="dxa"/>
            <w:tcBorders>
              <w:top w:val="single" w:color="000000" w:sz="12" w:space="0"/>
              <w:left w:val="single" w:color="000000" w:sz="4" w:space="0"/>
              <w:bottom w:val="single" w:color="000000" w:sz="4" w:space="0"/>
              <w:right w:val="single" w:color="000000" w:sz="12" w:space="0"/>
            </w:tcBorders>
            <w:shd w:val="clear" w:color="auto" w:fill="FFFFFF"/>
            <w:tcMar>
              <w:top w:w="60" w:type="dxa"/>
              <w:left w:w="120" w:type="dxa"/>
              <w:bottom w:w="30" w:type="dxa"/>
              <w:right w:w="120" w:type="dxa"/>
            </w:tcMar>
          </w:tcPr>
          <w:p w14:paraId="24594DDD">
            <w:pPr>
              <w:spacing w:before="120" w:after="120" w:line="288" w:lineRule="auto"/>
              <w:ind w:left="0"/>
              <w:jc w:val="center"/>
              <w:rPr>
                <w:b/>
                <w:bCs/>
                <w:color w:val="000000"/>
              </w:rPr>
            </w:pPr>
            <w:r>
              <w:rPr>
                <w:rFonts w:ascii="Arial" w:hAnsi="Arial" w:eastAsia="等线" w:cs="Arial"/>
                <w:b/>
                <w:bCs/>
                <w:color w:val="000000"/>
                <w:sz w:val="22"/>
              </w:rPr>
              <w:t>说明</w:t>
            </w:r>
          </w:p>
        </w:tc>
      </w:tr>
      <w:tr w14:paraId="5B6380E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964" w:hRule="atLeast"/>
        </w:trPr>
        <w:tc>
          <w:tcPr>
            <w:tcW w:w="776" w:type="dxa"/>
            <w:tcBorders>
              <w:top w:val="single" w:color="000000" w:sz="4" w:space="0"/>
              <w:left w:val="single" w:color="000000" w:sz="12" w:space="0"/>
              <w:bottom w:val="single" w:color="000000" w:sz="4" w:space="0"/>
              <w:right w:val="single" w:color="000000" w:sz="4" w:space="0"/>
            </w:tcBorders>
            <w:shd w:val="clear" w:color="auto" w:fill="FFFFFF"/>
            <w:tcMar>
              <w:top w:w="60" w:type="dxa"/>
              <w:left w:w="120" w:type="dxa"/>
              <w:bottom w:w="30" w:type="dxa"/>
              <w:right w:w="120" w:type="dxa"/>
            </w:tcMar>
          </w:tcPr>
          <w:p w14:paraId="1A456B1A">
            <w:pPr>
              <w:spacing w:before="120" w:after="120" w:line="288" w:lineRule="auto"/>
              <w:ind w:left="0"/>
              <w:jc w:val="center"/>
              <w:rPr>
                <w:b w:val="0"/>
                <w:color w:val="000000"/>
              </w:rPr>
            </w:pPr>
            <w:r>
              <w:rPr>
                <w:rFonts w:ascii="Arial" w:hAnsi="Arial" w:eastAsia="等线" w:cs="Arial"/>
                <w:b w:val="0"/>
                <w:color w:val="000000"/>
                <w:sz w:val="22"/>
              </w:rPr>
              <w:t>1</w:t>
            </w:r>
          </w:p>
        </w:tc>
        <w:tc>
          <w:tcPr>
            <w:tcW w:w="180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1E0D6374">
            <w:pPr>
              <w:spacing w:before="120" w:after="120" w:line="288" w:lineRule="auto"/>
              <w:ind w:left="0"/>
              <w:jc w:val="center"/>
              <w:rPr>
                <w:b w:val="0"/>
                <w:color w:val="000000"/>
              </w:rPr>
            </w:pPr>
            <w:r>
              <w:rPr>
                <w:rFonts w:ascii="Arial" w:hAnsi="Arial" w:eastAsia="等线" w:cs="Arial"/>
                <w:b w:val="0"/>
                <w:color w:val="000000"/>
                <w:sz w:val="22"/>
              </w:rPr>
              <w:t>报价</w:t>
            </w:r>
          </w:p>
        </w:tc>
        <w:tc>
          <w:tcPr>
            <w:tcW w:w="7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52CDDC2C">
            <w:pPr>
              <w:spacing w:before="120" w:after="120" w:line="288" w:lineRule="auto"/>
              <w:ind w:left="0"/>
              <w:jc w:val="left"/>
              <w:rPr>
                <w:b w:val="0"/>
                <w:color w:val="000000"/>
              </w:rPr>
            </w:pPr>
            <w:r>
              <w:rPr>
                <w:rFonts w:ascii="Arial" w:hAnsi="Arial" w:eastAsia="等线" w:cs="Arial"/>
                <w:b w:val="0"/>
                <w:color w:val="000000"/>
                <w:sz w:val="22"/>
              </w:rPr>
              <w:t>10分</w:t>
            </w:r>
          </w:p>
        </w:tc>
        <w:tc>
          <w:tcPr>
            <w:tcW w:w="93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734FF48C">
            <w:pPr>
              <w:spacing w:before="120" w:after="120" w:line="240" w:lineRule="auto"/>
              <w:ind w:left="0"/>
              <w:jc w:val="left"/>
              <w:rPr>
                <w:b w:val="0"/>
                <w:color w:val="000000"/>
              </w:rPr>
            </w:pPr>
            <w:r>
              <w:rPr>
                <w:rFonts w:ascii="Arial" w:hAnsi="Arial" w:eastAsia="等线" w:cs="Arial"/>
                <w:b w:val="0"/>
                <w:color w:val="000000"/>
                <w:sz w:val="22"/>
              </w:rPr>
              <w:t>基准价法：满足招标文件实质性要求所有投标供应商有效报价的算术平均值为评审基准价，投标供应商报价等于评审基准价的为满分，其他报价按照与评审基准价的偏离度计算得分。不得去掉有效报价的最高报价和最低报价。</w:t>
            </w:r>
          </w:p>
          <w:p w14:paraId="0D4FFD82">
            <w:pPr>
              <w:spacing w:before="120" w:after="120" w:line="240" w:lineRule="auto"/>
              <w:ind w:left="0"/>
              <w:jc w:val="left"/>
              <w:rPr>
                <w:b w:val="0"/>
                <w:color w:val="000000"/>
              </w:rPr>
            </w:pPr>
            <w:r>
              <w:rPr>
                <w:rFonts w:ascii="Arial" w:hAnsi="Arial" w:eastAsia="等线" w:cs="Arial"/>
                <w:b w:val="0"/>
                <w:color w:val="000000"/>
                <w:sz w:val="22"/>
              </w:rPr>
              <w:t>报价低于基准价的：报价得分=（1-│报价-报价基准价│/基准价）×10</w:t>
            </w:r>
            <w:r>
              <w:rPr>
                <w:rFonts w:ascii="Arial" w:hAnsi="Arial" w:eastAsia="等线" w:cs="Arial"/>
                <w:b w:val="0"/>
                <w:color w:val="000000"/>
                <w:sz w:val="22"/>
              </w:rPr>
              <w:br w:type="textWrapping"/>
            </w:r>
            <w:r>
              <w:rPr>
                <w:rFonts w:ascii="Arial" w:hAnsi="Arial" w:eastAsia="等线" w:cs="Arial"/>
                <w:b w:val="0"/>
                <w:color w:val="000000"/>
                <w:sz w:val="22"/>
              </w:rPr>
              <w:t>报价高于基准价的：报价得分=（1-│报价-评标基准价│/基准价）×10×0.9</w:t>
            </w:r>
          </w:p>
        </w:tc>
        <w:tc>
          <w:tcPr>
            <w:tcW w:w="1395" w:type="dxa"/>
            <w:tcBorders>
              <w:top w:val="single" w:color="000000" w:sz="4" w:space="0"/>
              <w:left w:val="single" w:color="000000" w:sz="4" w:space="0"/>
              <w:bottom w:val="single" w:color="000000" w:sz="4" w:space="0"/>
              <w:right w:val="single" w:color="000000" w:sz="12" w:space="0"/>
            </w:tcBorders>
            <w:shd w:val="clear" w:color="auto" w:fill="FFFFFF"/>
            <w:tcMar>
              <w:top w:w="60" w:type="dxa"/>
              <w:left w:w="120" w:type="dxa"/>
              <w:bottom w:w="30" w:type="dxa"/>
              <w:right w:w="120" w:type="dxa"/>
            </w:tcMar>
          </w:tcPr>
          <w:p w14:paraId="162EB27B">
            <w:pPr>
              <w:spacing w:before="120" w:after="120" w:line="288" w:lineRule="auto"/>
              <w:ind w:left="0"/>
              <w:jc w:val="left"/>
              <w:rPr>
                <w:b w:val="0"/>
                <w:color w:val="000000"/>
              </w:rPr>
            </w:pPr>
            <w:r>
              <w:rPr>
                <w:rFonts w:ascii="Arial" w:hAnsi="Arial" w:eastAsia="等线" w:cs="Arial"/>
                <w:b w:val="0"/>
                <w:color w:val="000000"/>
                <w:sz w:val="22"/>
              </w:rPr>
              <w:t>共同类评分因素</w:t>
            </w:r>
          </w:p>
        </w:tc>
      </w:tr>
      <w:tr w14:paraId="2591FCF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747" w:hRule="atLeast"/>
        </w:trPr>
        <w:tc>
          <w:tcPr>
            <w:tcW w:w="776" w:type="dxa"/>
            <w:tcBorders>
              <w:top w:val="single" w:color="000000" w:sz="4" w:space="0"/>
              <w:left w:val="single" w:color="000000" w:sz="12" w:space="0"/>
              <w:bottom w:val="single" w:color="000000" w:sz="4" w:space="0"/>
              <w:right w:val="single" w:color="000000" w:sz="4" w:space="0"/>
            </w:tcBorders>
            <w:shd w:val="clear" w:color="auto" w:fill="FFFFFF"/>
            <w:tcMar>
              <w:top w:w="60" w:type="dxa"/>
              <w:left w:w="120" w:type="dxa"/>
              <w:bottom w:w="30" w:type="dxa"/>
              <w:right w:w="120" w:type="dxa"/>
            </w:tcMar>
          </w:tcPr>
          <w:p w14:paraId="200009C9">
            <w:pPr>
              <w:spacing w:before="120" w:after="120" w:line="288" w:lineRule="auto"/>
              <w:ind w:left="0"/>
              <w:jc w:val="center"/>
              <w:rPr>
                <w:b w:val="0"/>
                <w:color w:val="000000"/>
              </w:rPr>
            </w:pPr>
            <w:r>
              <w:rPr>
                <w:rFonts w:ascii="Arial" w:hAnsi="Arial" w:eastAsia="等线" w:cs="Arial"/>
                <w:b w:val="0"/>
                <w:color w:val="000000"/>
                <w:sz w:val="22"/>
              </w:rPr>
              <w:t>2</w:t>
            </w:r>
          </w:p>
        </w:tc>
        <w:tc>
          <w:tcPr>
            <w:tcW w:w="180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60647CFD">
            <w:pPr>
              <w:spacing w:before="120" w:after="120" w:line="288" w:lineRule="auto"/>
              <w:ind w:left="0"/>
              <w:jc w:val="center"/>
              <w:rPr>
                <w:b w:val="0"/>
                <w:color w:val="000000"/>
              </w:rPr>
            </w:pPr>
            <w:r>
              <w:rPr>
                <w:rFonts w:ascii="Arial" w:hAnsi="Arial" w:eastAsia="等线" w:cs="Arial"/>
                <w:b w:val="0"/>
                <w:color w:val="000000"/>
                <w:sz w:val="22"/>
              </w:rPr>
              <w:t>技术及服务指标</w:t>
            </w:r>
          </w:p>
        </w:tc>
        <w:tc>
          <w:tcPr>
            <w:tcW w:w="7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1A63755B">
            <w:pPr>
              <w:spacing w:before="120" w:after="120" w:line="288" w:lineRule="auto"/>
              <w:ind w:left="0"/>
              <w:jc w:val="left"/>
              <w:rPr>
                <w:b w:val="0"/>
                <w:color w:val="000000"/>
              </w:rPr>
            </w:pPr>
            <w:r>
              <w:rPr>
                <w:rFonts w:ascii="Arial" w:hAnsi="Arial" w:eastAsia="等线" w:cs="Arial"/>
                <w:b w:val="0"/>
                <w:color w:val="000000"/>
                <w:sz w:val="22"/>
              </w:rPr>
              <w:t>38分</w:t>
            </w:r>
          </w:p>
        </w:tc>
        <w:tc>
          <w:tcPr>
            <w:tcW w:w="93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425DA5C2">
            <w:pPr>
              <w:spacing w:before="120" w:after="120" w:line="240" w:lineRule="auto"/>
              <w:ind w:left="0"/>
              <w:jc w:val="left"/>
              <w:rPr>
                <w:b w:val="0"/>
                <w:color w:val="000000"/>
              </w:rPr>
            </w:pPr>
            <w:r>
              <w:rPr>
                <w:rFonts w:ascii="Arial" w:hAnsi="Arial" w:eastAsia="等线" w:cs="Arial"/>
                <w:b w:val="0"/>
                <w:color w:val="000000"/>
                <w:sz w:val="22"/>
              </w:rPr>
              <w:t>全部满足招标文件的服务内容及要求得38分。</w:t>
            </w:r>
          </w:p>
          <w:p w14:paraId="2FD4F264">
            <w:pPr>
              <w:spacing w:before="120" w:after="120" w:line="240" w:lineRule="auto"/>
              <w:ind w:left="0"/>
              <w:jc w:val="left"/>
              <w:rPr>
                <w:b w:val="0"/>
                <w:color w:val="000000"/>
              </w:rPr>
            </w:pPr>
            <w:r>
              <w:rPr>
                <w:rFonts w:ascii="Arial" w:hAnsi="Arial" w:eastAsia="等线" w:cs="Arial"/>
                <w:b w:val="0"/>
                <w:color w:val="000000"/>
                <w:sz w:val="22"/>
              </w:rPr>
              <w:t>1、标注“▲”号的参数为重要项参数，共26项，全部满足得13分。须提供要求的证明材料予以佐证，未提供材料的参数视为负偏离。每有一项负偏离或不响应的扣1分。</w:t>
            </w:r>
          </w:p>
          <w:p w14:paraId="649C7954">
            <w:pPr>
              <w:spacing w:before="120" w:after="120" w:line="240" w:lineRule="auto"/>
              <w:ind w:left="0"/>
              <w:jc w:val="left"/>
              <w:rPr>
                <w:b w:val="0"/>
                <w:color w:val="000000"/>
              </w:rPr>
            </w:pPr>
            <w:r>
              <w:rPr>
                <w:rFonts w:ascii="Arial" w:hAnsi="Arial" w:eastAsia="等线" w:cs="Arial"/>
                <w:b w:val="0"/>
                <w:color w:val="000000"/>
                <w:sz w:val="22"/>
              </w:rPr>
              <w:t>2、标注“★”号的参数为演示项参数，共11项，全部满足得22分。演示需现场在真实网络环境下演示，PPT演示和demo演示无效，投标人自备设备进行现场演示，演示时间不超过20分钟。投标人如在规定时间内因自带设备原因未演示成功，由投标人自行承担相关责任。每有一项负偏离或不响应的扣1分。</w:t>
            </w:r>
          </w:p>
          <w:p w14:paraId="134C0489">
            <w:pPr>
              <w:spacing w:before="120" w:after="120" w:line="240" w:lineRule="auto"/>
              <w:ind w:left="0"/>
              <w:jc w:val="left"/>
              <w:rPr>
                <w:b w:val="0"/>
                <w:color w:val="000000"/>
              </w:rPr>
            </w:pPr>
            <w:r>
              <w:rPr>
                <w:rFonts w:ascii="Arial" w:hAnsi="Arial" w:eastAsia="等线" w:cs="Arial"/>
                <w:b w:val="0"/>
                <w:color w:val="000000"/>
                <w:sz w:val="22"/>
              </w:rPr>
              <w:t>3、未标注任何符号的参数为一般参数，全部满足得3分。每有一项负偏离或不响应的扣0.1分。</w:t>
            </w:r>
          </w:p>
          <w:p w14:paraId="1DE2233A">
            <w:pPr>
              <w:spacing w:before="120" w:after="120" w:line="240" w:lineRule="auto"/>
              <w:ind w:left="380" w:leftChars="0" w:hanging="380" w:hangingChars="190"/>
              <w:jc w:val="left"/>
              <w:rPr>
                <w:b w:val="0"/>
                <w:color w:val="000000"/>
              </w:rPr>
            </w:pPr>
            <w:r>
              <w:rPr>
                <w:rFonts w:ascii="Arial" w:hAnsi="Arial" w:eastAsia="等线" w:cs="Arial"/>
                <w:b w:val="0"/>
                <w:color w:val="000000"/>
                <w:sz w:val="20"/>
                <w:szCs w:val="20"/>
              </w:rPr>
              <w:t>注：1.以阿拉伯数字序列号：1）2）3）..。为一项；</w:t>
            </w:r>
            <w:r>
              <w:rPr>
                <w:rFonts w:ascii="Arial" w:hAnsi="Arial" w:eastAsia="等线" w:cs="Arial"/>
                <w:b w:val="0"/>
                <w:color w:val="000000"/>
                <w:sz w:val="20"/>
                <w:szCs w:val="20"/>
              </w:rPr>
              <w:br w:type="textWrapping"/>
            </w:r>
            <w:r>
              <w:rPr>
                <w:rFonts w:ascii="Arial" w:hAnsi="Arial" w:eastAsia="等线" w:cs="Arial"/>
                <w:b w:val="0"/>
                <w:color w:val="000000"/>
                <w:sz w:val="20"/>
                <w:szCs w:val="20"/>
              </w:rPr>
              <w:t>2.应按技术参数要求提供证明材料，未要求证明材料的响应即可。</w:t>
            </w:r>
            <w:r>
              <w:rPr>
                <w:rFonts w:ascii="Arial" w:hAnsi="Arial" w:eastAsia="等线" w:cs="Arial"/>
                <w:b w:val="0"/>
                <w:color w:val="000000"/>
                <w:sz w:val="20"/>
                <w:szCs w:val="20"/>
              </w:rPr>
              <w:br w:type="textWrapping"/>
            </w:r>
            <w:r>
              <w:rPr>
                <w:rFonts w:ascii="Arial" w:hAnsi="Arial" w:eastAsia="等线" w:cs="Arial"/>
                <w:b w:val="0"/>
                <w:color w:val="000000"/>
                <w:sz w:val="20"/>
                <w:szCs w:val="20"/>
              </w:rPr>
              <w:t>3.标注“★”号的参数为演示项参数：</w:t>
            </w:r>
            <w:r>
              <w:rPr>
                <w:rFonts w:ascii="Arial" w:hAnsi="Arial" w:eastAsia="等线" w:cs="Arial"/>
                <w:b w:val="0"/>
                <w:color w:val="000000"/>
                <w:sz w:val="22"/>
              </w:rPr>
              <w:t xml:space="preserve"> </w:t>
            </w:r>
          </w:p>
        </w:tc>
        <w:tc>
          <w:tcPr>
            <w:tcW w:w="1395" w:type="dxa"/>
            <w:tcBorders>
              <w:top w:val="single" w:color="000000" w:sz="4" w:space="0"/>
              <w:left w:val="single" w:color="000000" w:sz="4" w:space="0"/>
              <w:bottom w:val="single" w:color="000000" w:sz="4" w:space="0"/>
              <w:right w:val="single" w:color="000000" w:sz="12" w:space="0"/>
            </w:tcBorders>
            <w:shd w:val="clear" w:color="auto" w:fill="FFFFFF"/>
            <w:tcMar>
              <w:top w:w="60" w:type="dxa"/>
              <w:left w:w="120" w:type="dxa"/>
              <w:bottom w:w="30" w:type="dxa"/>
              <w:right w:w="120" w:type="dxa"/>
            </w:tcMar>
          </w:tcPr>
          <w:p w14:paraId="34F2F0ED">
            <w:pPr>
              <w:spacing w:before="120" w:after="120" w:line="288" w:lineRule="auto"/>
              <w:ind w:left="0"/>
              <w:jc w:val="left"/>
              <w:rPr>
                <w:b w:val="0"/>
                <w:color w:val="000000"/>
              </w:rPr>
            </w:pPr>
            <w:r>
              <w:rPr>
                <w:rFonts w:ascii="Arial" w:hAnsi="Arial" w:eastAsia="等线" w:cs="Arial"/>
                <w:b w:val="0"/>
                <w:color w:val="000000"/>
                <w:sz w:val="22"/>
              </w:rPr>
              <w:t>共同类评分因素</w:t>
            </w:r>
          </w:p>
        </w:tc>
      </w:tr>
      <w:tr w14:paraId="1A55C88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4151" w:hRule="atLeast"/>
        </w:trPr>
        <w:tc>
          <w:tcPr>
            <w:tcW w:w="776" w:type="dxa"/>
            <w:tcBorders>
              <w:top w:val="single" w:color="000000" w:sz="4" w:space="0"/>
              <w:left w:val="single" w:color="000000" w:sz="12" w:space="0"/>
              <w:bottom w:val="single" w:color="000000" w:sz="4" w:space="0"/>
              <w:right w:val="single" w:color="000000" w:sz="4" w:space="0"/>
            </w:tcBorders>
            <w:shd w:val="clear" w:color="auto" w:fill="FFFFFF"/>
            <w:tcMar>
              <w:top w:w="60" w:type="dxa"/>
              <w:left w:w="120" w:type="dxa"/>
              <w:bottom w:w="30" w:type="dxa"/>
              <w:right w:w="120" w:type="dxa"/>
            </w:tcMar>
          </w:tcPr>
          <w:p w14:paraId="344383D5">
            <w:pPr>
              <w:spacing w:before="120" w:after="120" w:line="288" w:lineRule="auto"/>
              <w:ind w:left="0"/>
              <w:jc w:val="center"/>
              <w:rPr>
                <w:b w:val="0"/>
                <w:color w:val="000000"/>
              </w:rPr>
            </w:pPr>
            <w:r>
              <w:rPr>
                <w:rFonts w:ascii="Arial" w:hAnsi="Arial" w:eastAsia="等线" w:cs="Arial"/>
                <w:b w:val="0"/>
                <w:color w:val="000000"/>
                <w:sz w:val="22"/>
              </w:rPr>
              <w:t>3</w:t>
            </w:r>
          </w:p>
        </w:tc>
        <w:tc>
          <w:tcPr>
            <w:tcW w:w="180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4E70BD74">
            <w:pPr>
              <w:spacing w:before="120" w:after="120" w:line="288" w:lineRule="auto"/>
              <w:ind w:left="0"/>
              <w:jc w:val="center"/>
              <w:rPr>
                <w:b w:val="0"/>
                <w:color w:val="000000"/>
              </w:rPr>
            </w:pPr>
            <w:r>
              <w:rPr>
                <w:rFonts w:ascii="Arial" w:hAnsi="Arial" w:eastAsia="等线" w:cs="Arial"/>
                <w:b w:val="0"/>
                <w:color w:val="000000"/>
                <w:sz w:val="22"/>
              </w:rPr>
              <w:t>履约能力</w:t>
            </w:r>
          </w:p>
        </w:tc>
        <w:tc>
          <w:tcPr>
            <w:tcW w:w="7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7EC1F2B8">
            <w:pPr>
              <w:spacing w:before="120" w:after="120" w:line="288" w:lineRule="auto"/>
              <w:ind w:left="0"/>
              <w:jc w:val="center"/>
              <w:rPr>
                <w:b w:val="0"/>
                <w:color w:val="000000"/>
              </w:rPr>
            </w:pPr>
            <w:r>
              <w:rPr>
                <w:rFonts w:ascii="Arial" w:hAnsi="Arial" w:eastAsia="等线" w:cs="Arial"/>
                <w:b w:val="0"/>
                <w:color w:val="000000"/>
                <w:sz w:val="22"/>
              </w:rPr>
              <w:t>26分</w:t>
            </w:r>
          </w:p>
        </w:tc>
        <w:tc>
          <w:tcPr>
            <w:tcW w:w="93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384E5511">
            <w:pPr>
              <w:spacing w:before="120" w:after="120" w:line="240" w:lineRule="auto"/>
              <w:ind w:left="0"/>
              <w:jc w:val="left"/>
              <w:rPr>
                <w:b w:val="0"/>
                <w:color w:val="000000"/>
              </w:rPr>
            </w:pPr>
            <w:r>
              <w:rPr>
                <w:rFonts w:ascii="Arial" w:hAnsi="Arial" w:eastAsia="等线" w:cs="Arial"/>
                <w:b w:val="0"/>
                <w:color w:val="000000"/>
                <w:sz w:val="22"/>
              </w:rPr>
              <w:t>1.投标人需提供在有效期内的守合同重信用企业证书、企业信用等级证书、质量服务信誉单位证书、合同信用等级认定证书，每提供一份证书，得1分，最多得4分，不提供或提供无效证书的得0分。</w:t>
            </w:r>
          </w:p>
          <w:p w14:paraId="60CD79BB">
            <w:pPr>
              <w:spacing w:before="120" w:after="120" w:line="240" w:lineRule="auto"/>
              <w:ind w:left="0"/>
              <w:jc w:val="left"/>
              <w:rPr>
                <w:b w:val="0"/>
                <w:color w:val="000000"/>
              </w:rPr>
            </w:pPr>
            <w:r>
              <w:rPr>
                <w:rFonts w:ascii="Arial" w:hAnsi="Arial" w:eastAsia="等线" w:cs="Arial"/>
                <w:b w:val="0"/>
                <w:color w:val="000000"/>
                <w:sz w:val="22"/>
              </w:rPr>
              <w:t>2、投标人具有类似项目业绩的，“类似项目业绩”指具有知识图谱服务业绩，每提供一份案例合同加1分，满分10分，以上材料提供不全或者提供无效证明材料的不得分。</w:t>
            </w:r>
          </w:p>
          <w:p w14:paraId="75F389DC">
            <w:pPr>
              <w:spacing w:before="120" w:after="120" w:line="240" w:lineRule="auto"/>
              <w:ind w:left="380" w:leftChars="0" w:hanging="380" w:hangingChars="190"/>
              <w:jc w:val="left"/>
              <w:rPr>
                <w:rFonts w:ascii="Arial" w:hAnsi="Arial" w:eastAsia="等线" w:cs="Arial"/>
                <w:b w:val="0"/>
                <w:color w:val="000000"/>
                <w:sz w:val="20"/>
                <w:szCs w:val="20"/>
              </w:rPr>
            </w:pPr>
            <w:r>
              <w:rPr>
                <w:rFonts w:ascii="Arial" w:hAnsi="Arial" w:eastAsia="等线" w:cs="Arial"/>
                <w:b w:val="0"/>
                <w:color w:val="000000"/>
                <w:sz w:val="20"/>
                <w:szCs w:val="20"/>
              </w:rPr>
              <w:t>注：成交后，投标人提供合同、验收单原件给采购人验证，如不能满足，上报相关部门处理，承担一切后果，采购人保留进一步采取法律手段的权利。</w:t>
            </w:r>
          </w:p>
          <w:p w14:paraId="24FFCFF3">
            <w:pPr>
              <w:spacing w:before="120" w:after="120" w:line="240" w:lineRule="auto"/>
              <w:ind w:left="0"/>
              <w:jc w:val="left"/>
              <w:rPr>
                <w:b w:val="0"/>
                <w:color w:val="000000"/>
              </w:rPr>
            </w:pPr>
            <w:r>
              <w:rPr>
                <w:rFonts w:hint="eastAsia" w:ascii="Arial" w:hAnsi="Arial" w:eastAsia="等线" w:cs="Arial"/>
                <w:b w:val="0"/>
                <w:color w:val="000000"/>
                <w:sz w:val="22"/>
                <w:lang w:val="en-US" w:eastAsia="zh-CN"/>
              </w:rPr>
              <w:t>3</w:t>
            </w:r>
            <w:r>
              <w:rPr>
                <w:rFonts w:ascii="Arial" w:hAnsi="Arial" w:eastAsia="等线" w:cs="Arial"/>
                <w:b w:val="0"/>
                <w:color w:val="000000"/>
                <w:sz w:val="22"/>
              </w:rPr>
              <w:t>、投标人为本项目配备的团队人员不少于10人（包括项目负责人、项目团队等）应具有本科或以上学历，主修专业应包含软件开发与测试类或软件工程类或计算机科学与技术类，要有不低于3年的教育行业服务经验和技术能力，满足以上要求的得3分，负责人或团队成员有软件设计师（中级）证书的每提供1份，加1分，最多得2分。以上人员须提供学历证明资料、职业资格资质证书及在职证明材料有效复印件并加盖投标人公章，否则不得分。</w:t>
            </w:r>
          </w:p>
        </w:tc>
        <w:tc>
          <w:tcPr>
            <w:tcW w:w="1395" w:type="dxa"/>
            <w:tcBorders>
              <w:top w:val="single" w:color="000000" w:sz="4" w:space="0"/>
              <w:left w:val="single" w:color="000000" w:sz="4" w:space="0"/>
              <w:bottom w:val="single" w:color="000000" w:sz="4" w:space="0"/>
              <w:right w:val="single" w:color="000000" w:sz="12" w:space="0"/>
            </w:tcBorders>
            <w:shd w:val="clear" w:color="auto" w:fill="FFFFFF"/>
            <w:tcMar>
              <w:top w:w="60" w:type="dxa"/>
              <w:left w:w="120" w:type="dxa"/>
              <w:bottom w:w="30" w:type="dxa"/>
              <w:right w:w="120" w:type="dxa"/>
            </w:tcMar>
          </w:tcPr>
          <w:p w14:paraId="0F757737">
            <w:pPr>
              <w:spacing w:before="120" w:after="120" w:line="288" w:lineRule="auto"/>
              <w:ind w:left="0"/>
              <w:jc w:val="left"/>
              <w:rPr>
                <w:b w:val="0"/>
                <w:color w:val="000000"/>
              </w:rPr>
            </w:pPr>
            <w:r>
              <w:rPr>
                <w:rFonts w:ascii="Arial" w:hAnsi="Arial" w:eastAsia="等线" w:cs="Arial"/>
                <w:b w:val="0"/>
                <w:color w:val="000000"/>
                <w:sz w:val="22"/>
              </w:rPr>
              <w:t>共同类评分因素</w:t>
            </w:r>
          </w:p>
        </w:tc>
      </w:tr>
      <w:tr w14:paraId="449F71E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60" w:hRule="atLeast"/>
        </w:trPr>
        <w:tc>
          <w:tcPr>
            <w:tcW w:w="776" w:type="dxa"/>
            <w:tcBorders>
              <w:top w:val="single" w:color="000000" w:sz="4" w:space="0"/>
              <w:left w:val="single" w:color="000000" w:sz="12" w:space="0"/>
              <w:bottom w:val="single" w:color="000000" w:sz="4" w:space="0"/>
              <w:right w:val="single" w:color="000000" w:sz="4" w:space="0"/>
            </w:tcBorders>
            <w:shd w:val="clear" w:color="auto" w:fill="FFFFFF"/>
            <w:tcMar>
              <w:top w:w="60" w:type="dxa"/>
              <w:left w:w="120" w:type="dxa"/>
              <w:bottom w:w="30" w:type="dxa"/>
              <w:right w:w="120" w:type="dxa"/>
            </w:tcMar>
          </w:tcPr>
          <w:p w14:paraId="49797685">
            <w:pPr>
              <w:spacing w:before="120" w:after="120" w:line="288" w:lineRule="auto"/>
              <w:ind w:left="0"/>
              <w:jc w:val="center"/>
              <w:rPr>
                <w:b w:val="0"/>
                <w:color w:val="000000"/>
              </w:rPr>
            </w:pPr>
            <w:r>
              <w:rPr>
                <w:rFonts w:ascii="Arial" w:hAnsi="Arial" w:eastAsia="等线" w:cs="Arial"/>
                <w:b w:val="0"/>
                <w:color w:val="000000"/>
                <w:sz w:val="22"/>
              </w:rPr>
              <w:t>4</w:t>
            </w:r>
          </w:p>
        </w:tc>
        <w:tc>
          <w:tcPr>
            <w:tcW w:w="180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5D1375CB">
            <w:pPr>
              <w:spacing w:before="120" w:after="120" w:line="288" w:lineRule="auto"/>
              <w:ind w:left="0"/>
              <w:jc w:val="center"/>
              <w:rPr>
                <w:b w:val="0"/>
                <w:color w:val="000000"/>
              </w:rPr>
            </w:pPr>
            <w:r>
              <w:rPr>
                <w:rFonts w:ascii="Arial" w:hAnsi="Arial" w:eastAsia="等线" w:cs="Arial"/>
                <w:b w:val="0"/>
                <w:color w:val="000000"/>
                <w:sz w:val="22"/>
              </w:rPr>
              <w:t>服务实施方案</w:t>
            </w:r>
          </w:p>
        </w:tc>
        <w:tc>
          <w:tcPr>
            <w:tcW w:w="7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7CEDE279">
            <w:pPr>
              <w:spacing w:before="120" w:after="120" w:line="288" w:lineRule="auto"/>
              <w:ind w:left="0"/>
              <w:jc w:val="center"/>
              <w:rPr>
                <w:b w:val="0"/>
                <w:color w:val="000000"/>
              </w:rPr>
            </w:pPr>
            <w:r>
              <w:rPr>
                <w:rFonts w:ascii="Arial" w:hAnsi="Arial" w:eastAsia="等线" w:cs="Arial"/>
                <w:b w:val="0"/>
                <w:color w:val="000000"/>
                <w:sz w:val="22"/>
              </w:rPr>
              <w:t>6分</w:t>
            </w:r>
          </w:p>
        </w:tc>
        <w:tc>
          <w:tcPr>
            <w:tcW w:w="93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68F19B38">
            <w:pPr>
              <w:spacing w:before="120" w:after="120" w:line="240" w:lineRule="auto"/>
              <w:ind w:left="0"/>
              <w:jc w:val="left"/>
              <w:rPr>
                <w:b w:val="0"/>
                <w:color w:val="000000"/>
              </w:rPr>
            </w:pPr>
            <w:r>
              <w:rPr>
                <w:rFonts w:ascii="Arial" w:hAnsi="Arial" w:eastAsia="等线" w:cs="Arial"/>
                <w:b w:val="0"/>
                <w:color w:val="000000"/>
                <w:sz w:val="22"/>
              </w:rPr>
              <w:t>1、投标人提供项目实施方案，包括但不限于：①项目建设流程；②项目进度计划；③培训方案及计划。以上内容完全满足本项目采购需求的得3分；每缺少一项内容的扣1分；每有一项内容缺陷或不足的扣0.5分，扣完为止。</w:t>
            </w:r>
          </w:p>
          <w:p w14:paraId="0E722339">
            <w:pPr>
              <w:spacing w:before="120" w:after="120" w:line="240" w:lineRule="auto"/>
              <w:ind w:left="380" w:leftChars="0" w:hanging="380" w:hangingChars="190"/>
              <w:jc w:val="left"/>
              <w:rPr>
                <w:rFonts w:ascii="Arial" w:hAnsi="Arial" w:eastAsia="等线" w:cs="Arial"/>
                <w:b w:val="0"/>
                <w:color w:val="000000"/>
                <w:sz w:val="20"/>
                <w:szCs w:val="20"/>
              </w:rPr>
            </w:pPr>
            <w:r>
              <w:rPr>
                <w:rFonts w:ascii="Arial" w:hAnsi="Arial" w:eastAsia="等线" w:cs="Arial"/>
                <w:b w:val="0"/>
                <w:color w:val="000000"/>
                <w:sz w:val="20"/>
                <w:szCs w:val="20"/>
              </w:rPr>
              <w:t>注：缺陷或不足是指，存在不适用项目实际情况的情形、凭空编造、方案中内容前后不一致、前后逻辑错误、涉及的规范及标准错误、地点区域错误、内容缺失、不符合项目实际情况等。</w:t>
            </w:r>
          </w:p>
          <w:p w14:paraId="0D6D885F">
            <w:pPr>
              <w:spacing w:before="120" w:after="120" w:line="240" w:lineRule="auto"/>
              <w:ind w:left="0"/>
              <w:jc w:val="left"/>
              <w:rPr>
                <w:b w:val="0"/>
                <w:color w:val="000000"/>
              </w:rPr>
            </w:pPr>
            <w:r>
              <w:rPr>
                <w:rFonts w:ascii="Arial" w:hAnsi="Arial" w:eastAsia="等线" w:cs="Arial"/>
                <w:b w:val="0"/>
                <w:color w:val="000000"/>
                <w:sz w:val="22"/>
              </w:rPr>
              <w:t>2、投标人提供售后服务方案，包括但不限于：①售后服务内容；②应急保障措施；③维护期内外的后续技术支持和维护能力。以上内容完全满足本项目采购需求的得3分；每缺少一项内容的扣1分；每有一项内容缺陷或不足的扣0.5分，扣完为止。</w:t>
            </w:r>
          </w:p>
          <w:p w14:paraId="4E669371">
            <w:pPr>
              <w:spacing w:before="120" w:after="120" w:line="240" w:lineRule="auto"/>
              <w:ind w:left="380" w:leftChars="0" w:hanging="380" w:hangingChars="190"/>
              <w:jc w:val="left"/>
              <w:rPr>
                <w:b w:val="0"/>
                <w:color w:val="000000"/>
              </w:rPr>
            </w:pPr>
            <w:r>
              <w:rPr>
                <w:rFonts w:ascii="Arial" w:hAnsi="Arial" w:eastAsia="等线" w:cs="Arial"/>
                <w:b w:val="0"/>
                <w:color w:val="000000"/>
                <w:sz w:val="20"/>
                <w:szCs w:val="20"/>
              </w:rPr>
              <w:t>注：缺陷或不足是指，存在不适用项目实际情况的情形、凭空编造、方案中内容前后不一致、前后逻辑错误、涉及的规范及标准错误、地点区域错误、内容缺失、不符合项目实际情况等。</w:t>
            </w:r>
          </w:p>
        </w:tc>
        <w:tc>
          <w:tcPr>
            <w:tcW w:w="1395" w:type="dxa"/>
            <w:tcBorders>
              <w:top w:val="single" w:color="000000" w:sz="4" w:space="0"/>
              <w:left w:val="single" w:color="000000" w:sz="4" w:space="0"/>
              <w:bottom w:val="single" w:color="000000" w:sz="4" w:space="0"/>
              <w:right w:val="single" w:color="000000" w:sz="12" w:space="0"/>
            </w:tcBorders>
            <w:shd w:val="clear" w:color="auto" w:fill="FFFFFF"/>
            <w:tcMar>
              <w:top w:w="60" w:type="dxa"/>
              <w:left w:w="120" w:type="dxa"/>
              <w:bottom w:w="30" w:type="dxa"/>
              <w:right w:w="120" w:type="dxa"/>
            </w:tcMar>
          </w:tcPr>
          <w:p w14:paraId="33F8E696">
            <w:pPr>
              <w:spacing w:before="120" w:after="120" w:line="288" w:lineRule="auto"/>
              <w:ind w:left="0"/>
              <w:jc w:val="left"/>
              <w:rPr>
                <w:b w:val="0"/>
                <w:color w:val="000000"/>
              </w:rPr>
            </w:pPr>
            <w:r>
              <w:rPr>
                <w:rFonts w:ascii="Arial" w:hAnsi="Arial" w:eastAsia="等线" w:cs="Arial"/>
                <w:b w:val="0"/>
                <w:color w:val="000000"/>
                <w:sz w:val="22"/>
              </w:rPr>
              <w:t>共同类评分因素</w:t>
            </w:r>
          </w:p>
        </w:tc>
      </w:tr>
      <w:tr w14:paraId="22D1D9D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637" w:hRule="atLeast"/>
        </w:trPr>
        <w:tc>
          <w:tcPr>
            <w:tcW w:w="776" w:type="dxa"/>
            <w:tcBorders>
              <w:top w:val="single" w:color="000000" w:sz="4" w:space="0"/>
              <w:left w:val="single" w:color="000000" w:sz="12" w:space="0"/>
              <w:bottom w:val="single" w:color="000000" w:sz="4" w:space="0"/>
              <w:right w:val="single" w:color="000000" w:sz="4" w:space="0"/>
            </w:tcBorders>
            <w:shd w:val="clear" w:color="auto" w:fill="FFFFFF"/>
            <w:tcMar>
              <w:top w:w="60" w:type="dxa"/>
              <w:left w:w="120" w:type="dxa"/>
              <w:bottom w:w="30" w:type="dxa"/>
              <w:right w:w="120" w:type="dxa"/>
            </w:tcMar>
          </w:tcPr>
          <w:p w14:paraId="6D5A7A0E">
            <w:pPr>
              <w:spacing w:before="120" w:after="120" w:line="288" w:lineRule="auto"/>
              <w:ind w:left="0"/>
              <w:jc w:val="center"/>
              <w:rPr>
                <w:b w:val="0"/>
                <w:color w:val="000000"/>
              </w:rPr>
            </w:pPr>
            <w:r>
              <w:rPr>
                <w:rFonts w:ascii="Arial" w:hAnsi="Arial" w:eastAsia="等线" w:cs="Arial"/>
                <w:b w:val="0"/>
                <w:color w:val="000000"/>
                <w:sz w:val="22"/>
              </w:rPr>
              <w:t>5</w:t>
            </w:r>
          </w:p>
        </w:tc>
        <w:tc>
          <w:tcPr>
            <w:tcW w:w="1801"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3A3B4AFF">
            <w:pPr>
              <w:spacing w:before="120" w:after="120" w:line="288" w:lineRule="auto"/>
              <w:ind w:left="0"/>
              <w:jc w:val="center"/>
              <w:rPr>
                <w:b w:val="0"/>
                <w:color w:val="000000"/>
              </w:rPr>
            </w:pPr>
            <w:r>
              <w:rPr>
                <w:rFonts w:ascii="Arial" w:hAnsi="Arial" w:eastAsia="等线" w:cs="Arial"/>
                <w:b w:val="0"/>
                <w:color w:val="000000"/>
                <w:sz w:val="22"/>
              </w:rPr>
              <w:t>平台实力</w:t>
            </w:r>
          </w:p>
        </w:tc>
        <w:tc>
          <w:tcPr>
            <w:tcW w:w="79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26CA705C">
            <w:pPr>
              <w:spacing w:before="120" w:after="120" w:line="288" w:lineRule="auto"/>
              <w:ind w:left="0"/>
              <w:jc w:val="center"/>
              <w:rPr>
                <w:b w:val="0"/>
                <w:color w:val="000000"/>
              </w:rPr>
            </w:pPr>
            <w:r>
              <w:rPr>
                <w:rFonts w:ascii="Arial" w:hAnsi="Arial" w:eastAsia="等线" w:cs="Arial"/>
                <w:b w:val="0"/>
                <w:color w:val="000000"/>
                <w:sz w:val="22"/>
              </w:rPr>
              <w:t>6分</w:t>
            </w:r>
          </w:p>
        </w:tc>
        <w:tc>
          <w:tcPr>
            <w:tcW w:w="93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20" w:type="dxa"/>
              <w:bottom w:w="30" w:type="dxa"/>
              <w:right w:w="120" w:type="dxa"/>
            </w:tcMar>
          </w:tcPr>
          <w:p w14:paraId="713F3D50">
            <w:pPr>
              <w:spacing w:before="120" w:after="120" w:line="240" w:lineRule="auto"/>
              <w:ind w:left="0"/>
              <w:jc w:val="left"/>
              <w:rPr>
                <w:b w:val="0"/>
                <w:color w:val="000000"/>
              </w:rPr>
            </w:pPr>
            <w:r>
              <w:rPr>
                <w:rFonts w:ascii="Arial" w:hAnsi="Arial" w:eastAsia="等线" w:cs="Arial"/>
                <w:b w:val="0"/>
                <w:color w:val="000000"/>
                <w:sz w:val="22"/>
              </w:rPr>
              <w:t>1、投标人所提供的课程平台须具备《信息系统安全等级保护备案证明》，三级及以上的得2分，二级的得1分，一级或不提供或提供无效证书的得0分。</w:t>
            </w:r>
          </w:p>
          <w:p w14:paraId="18297826">
            <w:pPr>
              <w:spacing w:before="120" w:after="120" w:line="240" w:lineRule="auto"/>
              <w:ind w:left="0"/>
              <w:jc w:val="left"/>
              <w:rPr>
                <w:b w:val="0"/>
                <w:color w:val="000000"/>
              </w:rPr>
            </w:pPr>
            <w:r>
              <w:rPr>
                <w:rFonts w:ascii="Arial" w:hAnsi="Arial" w:eastAsia="等线" w:cs="Arial"/>
                <w:b w:val="0"/>
                <w:color w:val="000000"/>
                <w:sz w:val="22"/>
              </w:rPr>
              <w:t>2、为保障制作完成的知识图谱能够有参评所需的运行数据，投标人所提供的课程平台须具备以下证书：</w:t>
            </w:r>
          </w:p>
          <w:p w14:paraId="7BF6F97B">
            <w:pPr>
              <w:spacing w:before="120" w:after="120" w:line="240" w:lineRule="auto"/>
              <w:ind w:left="0"/>
              <w:jc w:val="left"/>
              <w:rPr>
                <w:b w:val="0"/>
                <w:color w:val="000000"/>
              </w:rPr>
            </w:pPr>
            <w:r>
              <w:rPr>
                <w:rFonts w:ascii="Arial" w:hAnsi="Arial" w:eastAsia="等线" w:cs="Arial"/>
                <w:b w:val="0"/>
                <w:color w:val="000000"/>
                <w:sz w:val="22"/>
              </w:rPr>
              <w:t>1）提供资源中心类软件有效的计算机软件著作权登记证书得1分，不满足不得分。</w:t>
            </w:r>
            <w:r>
              <w:rPr>
                <w:rFonts w:ascii="Arial" w:hAnsi="Arial" w:eastAsia="等线" w:cs="Arial"/>
                <w:b w:val="0"/>
                <w:color w:val="000000"/>
                <w:sz w:val="22"/>
              </w:rPr>
              <w:br w:type="textWrapping"/>
            </w:r>
            <w:r>
              <w:rPr>
                <w:rFonts w:ascii="Arial" w:hAnsi="Arial" w:eastAsia="等线" w:cs="Arial"/>
                <w:b w:val="0"/>
                <w:color w:val="000000"/>
                <w:sz w:val="22"/>
              </w:rPr>
              <w:t>2）提供教程制作和课程设计类软件有效的计算机软件著作权登记证书得1分，不满足不得分。</w:t>
            </w:r>
            <w:r>
              <w:rPr>
                <w:rFonts w:ascii="Arial" w:hAnsi="Arial" w:eastAsia="等线" w:cs="Arial"/>
                <w:b w:val="0"/>
                <w:color w:val="000000"/>
                <w:sz w:val="22"/>
              </w:rPr>
              <w:br w:type="textWrapping"/>
            </w:r>
            <w:r>
              <w:rPr>
                <w:rFonts w:ascii="Arial" w:hAnsi="Arial" w:eastAsia="等线" w:cs="Arial"/>
                <w:b w:val="0"/>
                <w:color w:val="000000"/>
                <w:sz w:val="22"/>
              </w:rPr>
              <w:t>3）提供互动教学质量监控保障类软件有效的计算机软件著作权登记证书得1分，不满足不得分。</w:t>
            </w:r>
            <w:r>
              <w:rPr>
                <w:rFonts w:ascii="Arial" w:hAnsi="Arial" w:eastAsia="等线" w:cs="Arial"/>
                <w:b w:val="0"/>
                <w:color w:val="000000"/>
                <w:sz w:val="22"/>
              </w:rPr>
              <w:br w:type="textWrapping"/>
            </w:r>
            <w:r>
              <w:rPr>
                <w:rFonts w:ascii="Arial" w:hAnsi="Arial" w:eastAsia="等线" w:cs="Arial"/>
                <w:b w:val="0"/>
                <w:color w:val="000000"/>
                <w:sz w:val="22"/>
              </w:rPr>
              <w:t>4）提供2D全景还原教学类软件有效的计算机软件著作权登记证书得1分，不满足不得分。</w:t>
            </w:r>
          </w:p>
          <w:p w14:paraId="2956C311">
            <w:pPr>
              <w:spacing w:before="120" w:after="120" w:line="240" w:lineRule="auto"/>
              <w:ind w:left="380" w:leftChars="0" w:hanging="380" w:hangingChars="190"/>
              <w:jc w:val="left"/>
              <w:rPr>
                <w:b w:val="0"/>
                <w:color w:val="000000"/>
              </w:rPr>
            </w:pPr>
            <w:r>
              <w:rPr>
                <w:rFonts w:ascii="Arial" w:hAnsi="Arial" w:eastAsia="等线" w:cs="Arial"/>
                <w:b w:val="0"/>
                <w:color w:val="000000"/>
                <w:sz w:val="20"/>
                <w:szCs w:val="20"/>
              </w:rPr>
              <w:t>注：成交后，投标人提供以上证书原件给采购人验证，如不能满足，上报相关部门处理，承担一切后果，采购人保留进一步采取法律手段的权利。</w:t>
            </w:r>
          </w:p>
        </w:tc>
        <w:tc>
          <w:tcPr>
            <w:tcW w:w="1395" w:type="dxa"/>
            <w:tcBorders>
              <w:top w:val="single" w:color="000000" w:sz="4" w:space="0"/>
              <w:left w:val="single" w:color="000000" w:sz="4" w:space="0"/>
              <w:bottom w:val="single" w:color="000000" w:sz="4" w:space="0"/>
              <w:right w:val="single" w:color="000000" w:sz="12" w:space="0"/>
            </w:tcBorders>
            <w:shd w:val="clear" w:color="auto" w:fill="FFFFFF"/>
            <w:tcMar>
              <w:top w:w="60" w:type="dxa"/>
              <w:left w:w="120" w:type="dxa"/>
              <w:bottom w:w="30" w:type="dxa"/>
              <w:right w:w="120" w:type="dxa"/>
            </w:tcMar>
          </w:tcPr>
          <w:p w14:paraId="606739C0">
            <w:pPr>
              <w:spacing w:before="120" w:after="120" w:line="288" w:lineRule="auto"/>
              <w:ind w:left="0"/>
              <w:jc w:val="left"/>
              <w:rPr>
                <w:b w:val="0"/>
                <w:color w:val="000000"/>
              </w:rPr>
            </w:pPr>
            <w:r>
              <w:rPr>
                <w:rFonts w:ascii="Arial" w:hAnsi="Arial" w:eastAsia="等线" w:cs="Arial"/>
                <w:b w:val="0"/>
                <w:color w:val="000000"/>
                <w:sz w:val="22"/>
              </w:rPr>
              <w:t>共同类评分因素</w:t>
            </w:r>
          </w:p>
        </w:tc>
      </w:tr>
      <w:tr w14:paraId="484BEB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200" w:hRule="atLeast"/>
        </w:trPr>
        <w:tc>
          <w:tcPr>
            <w:tcW w:w="776" w:type="dxa"/>
            <w:tcBorders>
              <w:top w:val="single" w:color="000000" w:sz="4" w:space="0"/>
              <w:left w:val="single" w:color="000000" w:sz="12" w:space="0"/>
              <w:bottom w:val="single" w:color="000000" w:sz="12" w:space="0"/>
              <w:right w:val="single" w:color="000000" w:sz="4" w:space="0"/>
            </w:tcBorders>
            <w:shd w:val="clear" w:color="auto" w:fill="FFFFFF"/>
            <w:tcMar>
              <w:top w:w="60" w:type="dxa"/>
              <w:left w:w="120" w:type="dxa"/>
              <w:bottom w:w="30" w:type="dxa"/>
              <w:right w:w="120" w:type="dxa"/>
            </w:tcMar>
          </w:tcPr>
          <w:p w14:paraId="5A0F72A5">
            <w:pPr>
              <w:spacing w:before="120" w:after="120" w:line="288" w:lineRule="auto"/>
              <w:ind w:left="0"/>
              <w:jc w:val="center"/>
              <w:rPr>
                <w:b w:val="0"/>
                <w:color w:val="000000"/>
              </w:rPr>
            </w:pPr>
            <w:r>
              <w:rPr>
                <w:rFonts w:ascii="Arial" w:hAnsi="Arial" w:eastAsia="等线" w:cs="Arial"/>
                <w:b w:val="0"/>
                <w:color w:val="000000"/>
                <w:sz w:val="22"/>
              </w:rPr>
              <w:t>6</w:t>
            </w:r>
          </w:p>
        </w:tc>
        <w:tc>
          <w:tcPr>
            <w:tcW w:w="1801" w:type="dxa"/>
            <w:tcBorders>
              <w:top w:val="single" w:color="000000" w:sz="4" w:space="0"/>
              <w:left w:val="single" w:color="000000" w:sz="4" w:space="0"/>
              <w:bottom w:val="single" w:color="000000" w:sz="12" w:space="0"/>
              <w:right w:val="single" w:color="000000" w:sz="4" w:space="0"/>
            </w:tcBorders>
            <w:shd w:val="clear" w:color="auto" w:fill="FFFFFF"/>
            <w:tcMar>
              <w:top w:w="60" w:type="dxa"/>
              <w:left w:w="120" w:type="dxa"/>
              <w:bottom w:w="30" w:type="dxa"/>
              <w:right w:w="120" w:type="dxa"/>
            </w:tcMar>
          </w:tcPr>
          <w:p w14:paraId="1B856A38">
            <w:pPr>
              <w:spacing w:before="120" w:after="120" w:line="288" w:lineRule="auto"/>
              <w:ind w:left="0"/>
              <w:jc w:val="center"/>
              <w:rPr>
                <w:b w:val="0"/>
                <w:color w:val="000000"/>
              </w:rPr>
            </w:pPr>
            <w:r>
              <w:rPr>
                <w:rFonts w:ascii="Arial" w:hAnsi="Arial" w:eastAsia="等线" w:cs="Arial"/>
                <w:b w:val="0"/>
                <w:color w:val="000000"/>
                <w:sz w:val="22"/>
              </w:rPr>
              <w:t>运行推广</w:t>
            </w:r>
          </w:p>
        </w:tc>
        <w:tc>
          <w:tcPr>
            <w:tcW w:w="795" w:type="dxa"/>
            <w:tcBorders>
              <w:top w:val="single" w:color="000000" w:sz="4" w:space="0"/>
              <w:left w:val="single" w:color="000000" w:sz="4" w:space="0"/>
              <w:bottom w:val="single" w:color="000000" w:sz="12" w:space="0"/>
              <w:right w:val="single" w:color="000000" w:sz="4" w:space="0"/>
            </w:tcBorders>
            <w:shd w:val="clear" w:color="auto" w:fill="FFFFFF"/>
            <w:tcMar>
              <w:top w:w="60" w:type="dxa"/>
              <w:left w:w="120" w:type="dxa"/>
              <w:bottom w:w="30" w:type="dxa"/>
              <w:right w:w="120" w:type="dxa"/>
            </w:tcMar>
          </w:tcPr>
          <w:p w14:paraId="53122F1B">
            <w:pPr>
              <w:spacing w:before="120" w:after="120" w:line="288" w:lineRule="auto"/>
              <w:ind w:left="0"/>
              <w:jc w:val="center"/>
              <w:rPr>
                <w:b w:val="0"/>
                <w:color w:val="000000"/>
              </w:rPr>
            </w:pPr>
            <w:r>
              <w:rPr>
                <w:rFonts w:ascii="Arial" w:hAnsi="Arial" w:eastAsia="等线" w:cs="Arial"/>
                <w:b w:val="0"/>
                <w:color w:val="000000"/>
                <w:sz w:val="22"/>
              </w:rPr>
              <w:t>14分</w:t>
            </w:r>
          </w:p>
        </w:tc>
        <w:tc>
          <w:tcPr>
            <w:tcW w:w="9300" w:type="dxa"/>
            <w:tcBorders>
              <w:top w:val="single" w:color="000000" w:sz="4" w:space="0"/>
              <w:left w:val="single" w:color="000000" w:sz="4" w:space="0"/>
              <w:bottom w:val="single" w:color="000000" w:sz="12" w:space="0"/>
              <w:right w:val="single" w:color="000000" w:sz="4" w:space="0"/>
            </w:tcBorders>
            <w:shd w:val="clear" w:color="auto" w:fill="FFFFFF"/>
            <w:tcMar>
              <w:top w:w="60" w:type="dxa"/>
              <w:left w:w="120" w:type="dxa"/>
              <w:bottom w:w="30" w:type="dxa"/>
              <w:right w:w="120" w:type="dxa"/>
            </w:tcMar>
          </w:tcPr>
          <w:p w14:paraId="208BE67C">
            <w:pPr>
              <w:spacing w:before="120" w:after="120" w:line="240" w:lineRule="auto"/>
              <w:ind w:left="0"/>
              <w:jc w:val="left"/>
              <w:rPr>
                <w:b w:val="0"/>
                <w:color w:val="000000"/>
              </w:rPr>
            </w:pPr>
            <w:r>
              <w:rPr>
                <w:rFonts w:ascii="Arial" w:hAnsi="Arial" w:eastAsia="等线" w:cs="Arial"/>
                <w:b w:val="0"/>
                <w:color w:val="000000"/>
                <w:sz w:val="22"/>
              </w:rPr>
              <w:t>1、学校知识创新平台和专业图谱的建设、教学需要丰富、优质的课程资源作支撑，且图谱建设要服务于课程申报和评审，服务于老师学生的教学。投标人所提供通过平台申报成功且运行的国家精品在线开放课程、国家级线上一流本科课程的数量达到500门及以上得10分；400-499门得6分；300-399门得4分；200-299门得2分，200门（不含）以下和不提供不得分（提供教育部国家精品在线开放课程工作网和国家级线上一流本科课程公示截图及教育部职业教育国家在线精品课程名单公示截图或提供相关课程认定证书复印件予以佐证，不提供相关证明不得分）。以上证明材料不提供或提供不全的不得分。</w:t>
            </w:r>
          </w:p>
          <w:p w14:paraId="78678BAA">
            <w:pPr>
              <w:spacing w:before="120" w:after="120" w:line="240" w:lineRule="auto"/>
              <w:ind w:left="0"/>
              <w:jc w:val="left"/>
              <w:rPr>
                <w:b w:val="0"/>
                <w:color w:val="000000"/>
              </w:rPr>
            </w:pPr>
            <w:r>
              <w:rPr>
                <w:rFonts w:ascii="Arial" w:hAnsi="Arial" w:eastAsia="等线" w:cs="Arial"/>
                <w:b w:val="0"/>
                <w:color w:val="000000"/>
                <w:sz w:val="22"/>
              </w:rPr>
              <w:t>2、为更好地推进我校课程建设与教学改革在中西部高校的创新性应用与实践，服务中西部高等教育教学改革，响应教育部的“慕课西部行计划”，投标人所提供的平台在课程运行过程中能实现与西部高校的同步课堂服务，需提供东部高校与西部高校的慕课西行同步课堂案例，每提供5个同步课堂案例新闻链接及相关图片证明得1分，最多得4分。提供案例不能显示投标人提供的平台信息或不提供不得分。</w:t>
            </w:r>
          </w:p>
        </w:tc>
        <w:tc>
          <w:tcPr>
            <w:tcW w:w="1395" w:type="dxa"/>
            <w:tcBorders>
              <w:top w:val="single" w:color="000000" w:sz="4" w:space="0"/>
              <w:left w:val="single" w:color="000000" w:sz="4" w:space="0"/>
              <w:bottom w:val="single" w:color="000000" w:sz="12" w:space="0"/>
              <w:right w:val="single" w:color="000000" w:sz="12" w:space="0"/>
            </w:tcBorders>
            <w:shd w:val="clear" w:color="auto" w:fill="FFFFFF"/>
            <w:tcMar>
              <w:top w:w="60" w:type="dxa"/>
              <w:left w:w="120" w:type="dxa"/>
              <w:bottom w:w="30" w:type="dxa"/>
              <w:right w:w="120" w:type="dxa"/>
            </w:tcMar>
          </w:tcPr>
          <w:p w14:paraId="34DAC898">
            <w:pPr>
              <w:spacing w:before="120" w:after="120" w:line="288" w:lineRule="auto"/>
              <w:ind w:left="0"/>
              <w:jc w:val="left"/>
              <w:rPr>
                <w:b w:val="0"/>
                <w:color w:val="000000"/>
              </w:rPr>
            </w:pPr>
          </w:p>
        </w:tc>
      </w:tr>
    </w:tbl>
    <w:p w14:paraId="031CF48E"/>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6464A8"/>
    <w:rsid w:val="45D508A9"/>
    <w:rsid w:val="4D646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2174</Words>
  <Characters>2242</Characters>
  <Lines>0</Lines>
  <Paragraphs>0</Paragraphs>
  <TotalTime>2</TotalTime>
  <ScaleCrop>false</ScaleCrop>
  <LinksUpToDate>false</LinksUpToDate>
  <CharactersWithSpaces>2243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2026-10-10T08:53:00Z</dcterms:created>
  <dc:creator>luis</dc:creator>
  <cp:lastModifiedBy>谭惟度</cp:lastModifiedBy>
  <dcterms:modified xsi:type="dcterms:W3CDTF">2026-10-10T09:41:38Z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77B693327E36407CAE7B979998C98784_13</vt:lpwstr>
  </property>
  <property fmtid="{D5CDD505-2E9C-101B-9397-08002B2CF9AE}" pid="4" name="KSOTemplateDocerSaveRecord">
    <vt:lpwstr>eyJoZGlkIjoiMDYwZTJjNzUyYmI4MDVlNmU3YzBjOWNiNmZiNzQ4ZjIiLCJ1c2VySWQiOiI0ODYyMjA2NzgifQ==</vt:lpwstr>
  </property>
</Properties>
</file>