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3CE82">
      <w:pPr>
        <w:adjustRightInd w:val="0"/>
        <w:snapToGrid w:val="0"/>
        <w:spacing w:line="420" w:lineRule="exact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南京邮电大学通达学院</w:t>
      </w:r>
      <w:r>
        <w:rPr>
          <w:rFonts w:hint="eastAsia"/>
          <w:b/>
          <w:bCs/>
          <w:spacing w:val="6"/>
          <w:sz w:val="31"/>
          <w:szCs w:val="31"/>
          <w:lang w:eastAsia="zh-CN"/>
        </w:rPr>
        <w:t>《</w:t>
      </w:r>
      <w:r>
        <w:rPr>
          <w:rFonts w:hint="eastAsia"/>
          <w:b/>
          <w:bCs/>
          <w:spacing w:val="6"/>
          <w:sz w:val="31"/>
          <w:szCs w:val="31"/>
          <w:lang w:val="en-US" w:eastAsia="zh-CN"/>
        </w:rPr>
        <w:t>UI界面设计》数智融合课程建设</w:t>
      </w:r>
      <w:r>
        <w:rPr>
          <w:rFonts w:hint="eastAsia"/>
          <w:b/>
          <w:bCs/>
          <w:spacing w:val="6"/>
          <w:sz w:val="31"/>
          <w:szCs w:val="31"/>
          <w:lang w:val="en-US" w:eastAsia="zh-CN"/>
        </w:rPr>
        <w:br w:type="textWrapping"/>
      </w:r>
      <w:r>
        <w:rPr>
          <w:rFonts w:hint="eastAsia" w:ascii="宋体" w:hAnsi="宋体" w:cs="宋体"/>
          <w:b/>
          <w:bCs/>
          <w:sz w:val="32"/>
          <w:szCs w:val="32"/>
        </w:rPr>
        <w:t>项目竞争性磋商公告</w:t>
      </w:r>
    </w:p>
    <w:p w14:paraId="6E2F23EA">
      <w:pPr>
        <w:adjustRightInd w:val="0"/>
        <w:snapToGrid w:val="0"/>
        <w:spacing w:line="276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南京邮电大学通达学院就 </w:t>
      </w:r>
      <w:r>
        <w:rPr>
          <w:rFonts w:hint="eastAsia" w:ascii="宋体" w:hAnsi="宋体" w:cs="宋体"/>
          <w:sz w:val="24"/>
          <w:szCs w:val="24"/>
          <w:lang w:eastAsia="zh-CN"/>
        </w:rPr>
        <w:t>《UI界面设计》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数智融合课程</w:t>
      </w:r>
      <w:r>
        <w:rPr>
          <w:rFonts w:hint="eastAsia" w:ascii="宋体" w:hAnsi="宋体" w:cs="宋体"/>
          <w:sz w:val="24"/>
          <w:szCs w:val="24"/>
          <w:lang w:eastAsia="zh-CN"/>
        </w:rPr>
        <w:t>建设</w:t>
      </w:r>
      <w:r>
        <w:rPr>
          <w:rFonts w:hint="eastAsia" w:ascii="宋体" w:hAnsi="宋体" w:cs="宋体"/>
          <w:sz w:val="24"/>
          <w:szCs w:val="24"/>
        </w:rPr>
        <w:t>项目组织竞争性磋商采购</w:t>
      </w:r>
      <w:r>
        <w:rPr>
          <w:rFonts w:hint="eastAsia" w:ascii="宋体" w:hAnsi="宋体" w:cs="宋体"/>
          <w:spacing w:val="20"/>
          <w:sz w:val="24"/>
          <w:szCs w:val="24"/>
        </w:rPr>
        <w:t>活动</w:t>
      </w:r>
      <w:r>
        <w:rPr>
          <w:rFonts w:hint="eastAsia" w:ascii="宋体" w:hAnsi="宋体" w:cs="宋体"/>
          <w:sz w:val="24"/>
          <w:szCs w:val="24"/>
        </w:rPr>
        <w:t>，欢迎符合资质条件的供应商参与。</w:t>
      </w:r>
    </w:p>
    <w:p w14:paraId="42001422">
      <w:pPr>
        <w:adjustRightInd w:val="0"/>
        <w:snapToGrid w:val="0"/>
        <w:spacing w:line="276" w:lineRule="auto"/>
        <w:ind w:left="1680" w:hanging="1680" w:hangingChars="700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一、</w:t>
      </w:r>
      <w:r>
        <w:rPr>
          <w:rFonts w:asciiTheme="minorEastAsia" w:hAnsiTheme="minorEastAsia"/>
          <w:sz w:val="24"/>
        </w:rPr>
        <w:t>项目</w:t>
      </w:r>
      <w:r>
        <w:rPr>
          <w:rFonts w:hint="eastAsia" w:asciiTheme="minorEastAsia" w:hAnsiTheme="minorEastAsia"/>
          <w:sz w:val="24"/>
        </w:rPr>
        <w:t>名称：</w:t>
      </w:r>
      <w:r>
        <w:rPr>
          <w:rFonts w:hint="eastAsia" w:ascii="Arial" w:eastAsia="宋体"/>
          <w:sz w:val="24"/>
          <w:szCs w:val="24"/>
          <w:lang w:eastAsia="zh-CN"/>
        </w:rPr>
        <w:t>《UI界面设计》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数智融合课程</w:t>
      </w:r>
      <w:r>
        <w:rPr>
          <w:rFonts w:hint="eastAsia" w:ascii="宋体" w:hAnsi="宋体" w:cs="宋体"/>
          <w:sz w:val="24"/>
          <w:szCs w:val="24"/>
          <w:lang w:eastAsia="zh-CN"/>
        </w:rPr>
        <w:t>建设</w:t>
      </w:r>
    </w:p>
    <w:p w14:paraId="1AFF857D">
      <w:pPr>
        <w:adjustRightInd w:val="0"/>
        <w:snapToGrid w:val="0"/>
        <w:spacing w:line="276" w:lineRule="auto"/>
        <w:ind w:left="1680" w:hanging="1680" w:hangingChars="70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二、项目编号：</w:t>
      </w:r>
      <w:r>
        <w:rPr>
          <w:rFonts w:hint="eastAsia" w:asciiTheme="minorEastAsia" w:hAnsiTheme="minorEastAsia"/>
          <w:sz w:val="24"/>
          <w:lang w:val="en-US" w:eastAsia="zh-CN"/>
        </w:rPr>
        <w:t>FSCG-2026039</w:t>
      </w:r>
    </w:p>
    <w:p w14:paraId="49EAD5A9">
      <w:pPr>
        <w:adjustRightInd w:val="0"/>
        <w:snapToGrid w:val="0"/>
        <w:spacing w:line="276" w:lineRule="auto"/>
        <w:ind w:left="1680" w:hanging="1680" w:hangingChars="700"/>
        <w:jc w:val="left"/>
        <w:rPr>
          <w:rFonts w:hint="default" w:eastAsia="宋体" w:asciiTheme="minorEastAsia" w:hAnsiTheme="minorEastAsia"/>
          <w:sz w:val="24"/>
          <w:lang w:val="en-US" w:eastAsia="zh-CN"/>
        </w:rPr>
      </w:pPr>
      <w:r>
        <w:rPr>
          <w:rFonts w:hint="eastAsia" w:asciiTheme="minorEastAsia" w:hAnsiTheme="minorEastAsia"/>
          <w:sz w:val="24"/>
        </w:rPr>
        <w:t>三、采购预算：</w:t>
      </w:r>
      <w:r>
        <w:rPr>
          <w:rFonts w:hint="eastAsia" w:asciiTheme="minorEastAsia" w:hAnsiTheme="minorEastAsia"/>
          <w:sz w:val="24"/>
          <w:lang w:val="en-US" w:eastAsia="zh-CN"/>
        </w:rPr>
        <w:t>人民币3.0万</w:t>
      </w:r>
    </w:p>
    <w:p w14:paraId="3B351A66">
      <w:pPr>
        <w:adjustRightInd w:val="0"/>
        <w:snapToGrid w:val="0"/>
        <w:spacing w:line="276" w:lineRule="auto"/>
        <w:ind w:left="1680" w:hanging="1680" w:hangingChars="700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四、采购内容：</w:t>
      </w:r>
    </w:p>
    <w:p w14:paraId="0B38189B">
      <w:pPr>
        <w:adjustRightInd w:val="0"/>
        <w:snapToGrid w:val="0"/>
        <w:spacing w:line="276" w:lineRule="auto"/>
        <w:ind w:left="42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1.采购需求：</w:t>
      </w:r>
    </w:p>
    <w:p w14:paraId="2ED6544A">
      <w:pPr>
        <w:adjustRightInd w:val="0"/>
        <w:snapToGrid w:val="0"/>
        <w:spacing w:line="276" w:lineRule="auto"/>
        <w:ind w:left="42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1）三图谱融合的课程体系建设：知识图谱，梳理知识点层级结构、先修后继与相互关联关系，形成可视化知识网络，支撑学生自主漫游与个性化学习路径规划；能力图谱，明确课程能力目标，建立“能力—知识点”映射关系，为能力达成度评价与教学改进提供框架；问题图谱，围绕核心知识点梳理真实情境下的疑难、组合与基本问题体系，为问题导向教学（PBL）与案例教学提供结构化支撑。</w:t>
      </w:r>
    </w:p>
    <w:p w14:paraId="45FB4D63">
      <w:pPr>
        <w:adjustRightInd w:val="0"/>
        <w:snapToGrid w:val="0"/>
        <w:spacing w:line="276" w:lineRule="auto"/>
        <w:ind w:left="42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（2）多模态融合知识画像与资源建设：以知识点为核心整合文本、图像、视频等多模态资源，构建动态更新、开放共享的课程资源库，提供个性化学习路径与资源推荐。</w:t>
      </w:r>
    </w:p>
    <w:p w14:paraId="36E66FE6">
      <w:pPr>
        <w:adjustRightInd w:val="0"/>
        <w:snapToGrid w:val="0"/>
        <w:spacing w:line="276" w:lineRule="auto"/>
        <w:ind w:left="42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3）AI教学空间与AI引擎支撑：提供AI课程助教、智能备课、班级管理与学情洞察等能力；平台配套30余种AI教学工具（如AI知识萃取、课程PPT自动生成、知识点教案生成、智能批阅、AI资源发现等），贯通“教、学、考、评、测”全流程，减轻教师负担、提升教学效率。</w:t>
      </w:r>
    </w:p>
    <w:p w14:paraId="3F524126">
      <w:pPr>
        <w:adjustRightInd w:val="0"/>
        <w:snapToGrid w:val="0"/>
        <w:spacing w:line="276" w:lineRule="auto"/>
        <w:ind w:left="42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  <w:lang w:eastAsia="zh-CN"/>
        </w:rPr>
        <w:t>（</w:t>
      </w:r>
      <w:r>
        <w:rPr>
          <w:rFonts w:hint="eastAsia" w:asciiTheme="minorEastAsia" w:hAnsiTheme="minorEastAsia"/>
          <w:sz w:val="24"/>
        </w:rPr>
        <w:t>4</w:t>
      </w:r>
      <w:r>
        <w:rPr>
          <w:rFonts w:hint="eastAsia" w:asciiTheme="minorEastAsia" w:hAnsiTheme="minorEastAsia"/>
          <w:sz w:val="24"/>
          <w:lang w:eastAsia="zh-CN"/>
        </w:rPr>
        <w:t>）</w:t>
      </w:r>
      <w:r>
        <w:rPr>
          <w:rFonts w:hint="eastAsia" w:asciiTheme="minorEastAsia" w:hAnsiTheme="minorEastAsia"/>
          <w:sz w:val="24"/>
        </w:rPr>
        <w:t>基于AI的个性化学习模式：支持基于知识图谱的个性化学习、以“掌握”为目标的自主学习、电脑客户端与微信小程序多终端随时学习，以及智能问答与过程性数据驱动的因材施教，形成“评价—反馈—改进”闭环。</w:t>
      </w:r>
    </w:p>
    <w:p w14:paraId="748DC360">
      <w:pPr>
        <w:adjustRightInd w:val="0"/>
        <w:snapToGrid w:val="0"/>
        <w:spacing w:line="276" w:lineRule="auto"/>
        <w:ind w:left="42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  <w:lang w:eastAsia="zh-CN"/>
        </w:rPr>
        <w:t>（</w:t>
      </w:r>
      <w:r>
        <w:rPr>
          <w:rFonts w:hint="eastAsia" w:asciiTheme="minorEastAsia" w:hAnsiTheme="minorEastAsia"/>
          <w:sz w:val="24"/>
          <w:lang w:val="en-US" w:eastAsia="zh-CN"/>
        </w:rPr>
        <w:t>5</w:t>
      </w:r>
      <w:r>
        <w:rPr>
          <w:rFonts w:hint="eastAsia" w:asciiTheme="minorEastAsia" w:hAnsiTheme="minorEastAsia"/>
          <w:sz w:val="24"/>
          <w:lang w:eastAsia="zh-CN"/>
        </w:rPr>
        <w:t>）</w:t>
      </w:r>
      <w:r>
        <w:rPr>
          <w:rFonts w:hint="eastAsia" w:asciiTheme="minorEastAsia" w:hAnsiTheme="minorEastAsia"/>
          <w:sz w:val="24"/>
        </w:rPr>
        <w:t>本地化服务保障：建设后提供操作培训与7×16小时在线客服（8:00–24:00），软件升级与维护不少于三年，7×24小时售后响应，重大故障修复不超过72小时，质保期内每月至少1次回访。项目将为学生提供个性化学习路径与资源推荐，为教师提供精准数据反馈与学生画像，并梳理培养方案、课程与知识点的对应关系，推动课程教学支撑人才培养目标达成，支持一流（品牌）专业建设、一流课程建设与教育教学改革。</w:t>
      </w:r>
    </w:p>
    <w:p w14:paraId="7F020BD5">
      <w:pPr>
        <w:adjustRightInd w:val="0"/>
        <w:snapToGrid w:val="0"/>
        <w:spacing w:line="276" w:lineRule="auto"/>
        <w:ind w:left="42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2.交付时间：合同签订后</w:t>
      </w:r>
      <w:r>
        <w:rPr>
          <w:rFonts w:hint="eastAsia" w:asciiTheme="minorEastAsia" w:hAnsiTheme="minorEastAsia"/>
          <w:sz w:val="24"/>
          <w:highlight w:val="none"/>
          <w:u w:val="single"/>
        </w:rPr>
        <w:t xml:space="preserve">  </w:t>
      </w:r>
      <w:r>
        <w:rPr>
          <w:rFonts w:hint="eastAsia" w:asciiTheme="minorEastAsia" w:hAnsiTheme="minorEastAsia"/>
          <w:sz w:val="24"/>
          <w:highlight w:val="none"/>
          <w:u w:val="single"/>
          <w:lang w:val="en-US" w:eastAsia="zh-CN"/>
        </w:rPr>
        <w:t>50</w:t>
      </w:r>
      <w:r>
        <w:rPr>
          <w:rFonts w:hint="eastAsia" w:asciiTheme="minorEastAsia" w:hAnsiTheme="minorEastAsia"/>
          <w:sz w:val="24"/>
          <w:highlight w:val="none"/>
          <w:u w:val="single"/>
        </w:rPr>
        <w:t xml:space="preserve">  </w:t>
      </w:r>
      <w:r>
        <w:rPr>
          <w:rFonts w:hint="eastAsia" w:asciiTheme="minorEastAsia" w:hAnsiTheme="minorEastAsia"/>
          <w:sz w:val="24"/>
        </w:rPr>
        <w:t>日内送至采购单位指定地点并完成安装调试。</w:t>
      </w:r>
    </w:p>
    <w:p w14:paraId="4AF6BB87">
      <w:pPr>
        <w:adjustRightInd w:val="0"/>
        <w:snapToGrid w:val="0"/>
        <w:spacing w:line="276" w:lineRule="auto"/>
        <w:ind w:left="42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3.交付地点：南京邮电大学通达学院指定位置。</w:t>
      </w:r>
    </w:p>
    <w:p w14:paraId="3AE0C52A">
      <w:pPr>
        <w:adjustRightInd w:val="0"/>
        <w:snapToGrid w:val="0"/>
        <w:spacing w:line="276" w:lineRule="auto"/>
        <w:ind w:left="480" w:hanging="480" w:hanging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五、参与磋商的供应商应具备的资格条件（</w:t>
      </w:r>
      <w:r>
        <w:rPr>
          <w:rFonts w:asciiTheme="minorEastAsia" w:hAnsiTheme="minorEastAsia"/>
          <w:sz w:val="24"/>
        </w:rPr>
        <w:t>供应</w:t>
      </w:r>
      <w:r>
        <w:rPr>
          <w:rFonts w:hint="eastAsia" w:asciiTheme="minorEastAsia" w:hAnsiTheme="minorEastAsia"/>
          <w:sz w:val="24"/>
        </w:rPr>
        <w:t>商自行对照如下资格条件并对此负责，</w:t>
      </w:r>
      <w:r>
        <w:rPr>
          <w:rFonts w:asciiTheme="minorEastAsia" w:hAnsiTheme="minorEastAsia"/>
          <w:sz w:val="24"/>
        </w:rPr>
        <w:t>提交</w:t>
      </w:r>
      <w:r>
        <w:rPr>
          <w:rFonts w:hint="eastAsia" w:asciiTheme="minorEastAsia" w:hAnsiTheme="minorEastAsia"/>
          <w:sz w:val="24"/>
        </w:rPr>
        <w:t>报价文件时无须提供）</w:t>
      </w:r>
    </w:p>
    <w:p w14:paraId="7CF40FA1">
      <w:pPr>
        <w:adjustRightInd w:val="0"/>
        <w:snapToGrid w:val="0"/>
        <w:spacing w:line="276" w:lineRule="auto"/>
        <w:ind w:left="42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1.具有独立承担民事责任的能力；</w:t>
      </w:r>
    </w:p>
    <w:p w14:paraId="0D61FAB4">
      <w:pPr>
        <w:adjustRightInd w:val="0"/>
        <w:snapToGrid w:val="0"/>
        <w:spacing w:line="276" w:lineRule="auto"/>
        <w:ind w:left="42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2.具有良好的商业信誉：</w:t>
      </w:r>
    </w:p>
    <w:p w14:paraId="2799296A">
      <w:pPr>
        <w:adjustRightInd w:val="0"/>
        <w:snapToGrid w:val="0"/>
        <w:spacing w:line="276" w:lineRule="auto"/>
        <w:ind w:left="42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3.具有履行合同所必需的设备和专业技术能力（提供生产商的技术支持承诺函,便于</w:t>
      </w:r>
      <w:r>
        <w:rPr>
          <w:rFonts w:asciiTheme="minorEastAsia" w:hAnsiTheme="minorEastAsia"/>
          <w:sz w:val="24"/>
        </w:rPr>
        <w:t>后</w:t>
      </w:r>
      <w:r>
        <w:rPr>
          <w:rFonts w:hint="eastAsia" w:asciiTheme="minorEastAsia" w:hAnsiTheme="minorEastAsia"/>
          <w:sz w:val="24"/>
        </w:rPr>
        <w:t>期</w:t>
      </w:r>
      <w:r>
        <w:rPr>
          <w:rFonts w:asciiTheme="minorEastAsia" w:hAnsiTheme="minorEastAsia"/>
          <w:sz w:val="24"/>
        </w:rPr>
        <w:t>消防可视化改造时提供技术支持</w:t>
      </w:r>
      <w:r>
        <w:rPr>
          <w:rFonts w:hint="eastAsia" w:asciiTheme="minorEastAsia" w:hAnsiTheme="minorEastAsia"/>
          <w:sz w:val="24"/>
        </w:rPr>
        <w:t>）；</w:t>
      </w:r>
    </w:p>
    <w:p w14:paraId="68D58335">
      <w:pPr>
        <w:adjustRightInd w:val="0"/>
        <w:snapToGrid w:val="0"/>
        <w:spacing w:line="276" w:lineRule="auto"/>
        <w:ind w:left="42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4.有依法缴纳税收的良好记录；</w:t>
      </w:r>
    </w:p>
    <w:p w14:paraId="455C542B">
      <w:pPr>
        <w:adjustRightInd w:val="0"/>
        <w:snapToGrid w:val="0"/>
        <w:spacing w:line="276" w:lineRule="auto"/>
        <w:ind w:left="42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5.参加本次采购活动前三年内，在经营活动中没有重大违法记录；</w:t>
      </w:r>
    </w:p>
    <w:p w14:paraId="20B17CC8">
      <w:pPr>
        <w:adjustRightInd w:val="0"/>
        <w:snapToGrid w:val="0"/>
        <w:spacing w:line="276" w:lineRule="auto"/>
        <w:ind w:left="42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6.法律、行政法规规定的其他条件；</w:t>
      </w:r>
    </w:p>
    <w:p w14:paraId="10BAB162">
      <w:pPr>
        <w:adjustRightInd w:val="0"/>
        <w:snapToGrid w:val="0"/>
        <w:spacing w:line="276" w:lineRule="auto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六、商务要求</w:t>
      </w:r>
    </w:p>
    <w:p w14:paraId="0F45B9DB">
      <w:pPr>
        <w:adjustRightInd w:val="0"/>
        <w:snapToGrid w:val="0"/>
        <w:spacing w:line="276" w:lineRule="auto"/>
        <w:ind w:left="42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1.</w:t>
      </w:r>
      <w:r>
        <w:rPr>
          <w:rFonts w:asciiTheme="minorEastAsia" w:hAnsiTheme="minorEastAsia"/>
          <w:sz w:val="24"/>
        </w:rPr>
        <w:t>供货要求：供应商负责将货物运到扬州市邗江区润扬南路33号南京邮电</w:t>
      </w:r>
    </w:p>
    <w:p w14:paraId="3DC81759">
      <w:pPr>
        <w:adjustRightInd w:val="0"/>
        <w:snapToGrid w:val="0"/>
        <w:spacing w:line="276" w:lineRule="auto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大学通达学院指定安装地点，并安装到位，由供应商负责办理运输和装卸</w:t>
      </w:r>
      <w:r>
        <w:rPr>
          <w:rFonts w:hint="eastAsia" w:asciiTheme="minorEastAsia" w:hAnsiTheme="minorEastAsia"/>
          <w:sz w:val="24"/>
        </w:rPr>
        <w:t>及原有设备的拆除</w:t>
      </w:r>
      <w:r>
        <w:rPr>
          <w:rFonts w:asciiTheme="minorEastAsia" w:hAnsiTheme="minorEastAsia"/>
          <w:sz w:val="24"/>
        </w:rPr>
        <w:t>等，费用由供应商负责，安装完毕由采购人或指定单位组织验收，检验不合格或不符合质量要求，供应商除无条件退货、返工外，还应承担采购人的一切损失。</w:t>
      </w:r>
    </w:p>
    <w:p w14:paraId="7B863A6B">
      <w:pPr>
        <w:spacing w:line="276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2.质保</w:t>
      </w:r>
      <w:r>
        <w:rPr>
          <w:rFonts w:hint="eastAsia" w:asciiTheme="minorEastAsia" w:hAnsiTheme="minorEastAsia"/>
          <w:sz w:val="24"/>
          <w:highlight w:val="none"/>
          <w:u w:val="single"/>
        </w:rPr>
        <w:t xml:space="preserve">  </w:t>
      </w:r>
      <w:r>
        <w:rPr>
          <w:rFonts w:hint="eastAsia" w:asciiTheme="minorEastAsia" w:hAnsiTheme="minorEastAsia"/>
          <w:sz w:val="24"/>
          <w:highlight w:val="none"/>
          <w:u w:val="single"/>
          <w:lang w:val="en-US" w:eastAsia="zh-CN"/>
        </w:rPr>
        <w:t>3</w:t>
      </w:r>
      <w:r>
        <w:rPr>
          <w:rFonts w:hint="eastAsia" w:asciiTheme="minorEastAsia" w:hAnsiTheme="minorEastAsia"/>
          <w:sz w:val="24"/>
          <w:highlight w:val="none"/>
          <w:u w:val="single"/>
        </w:rPr>
        <w:t xml:space="preserve">  </w:t>
      </w:r>
      <w:r>
        <w:rPr>
          <w:rFonts w:hint="eastAsia" w:asciiTheme="minorEastAsia" w:hAnsiTheme="minorEastAsia"/>
          <w:sz w:val="24"/>
        </w:rPr>
        <w:t>年。质保期</w:t>
      </w:r>
      <w:r>
        <w:rPr>
          <w:rFonts w:asciiTheme="minorEastAsia" w:hAnsiTheme="minorEastAsia"/>
          <w:sz w:val="24"/>
        </w:rPr>
        <w:t>内因维修产生的一切费用均由中标人承担。</w:t>
      </w:r>
    </w:p>
    <w:p w14:paraId="04DA9084">
      <w:pPr>
        <w:spacing w:line="276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.报价要求：投标总报价一次报定，包括乙方所提供货物的全部设备、辅助材料、备品、备件、安装、调试、人工、机械、运输、仓储、保险、运费、各种税费、劳保、专利技术、培训、技术支持及质保期间等有关的为完成本项目发生的所有费用。承包风险由投标单位自行承担。未考虑的投标遗漏，视同此遗漏已经包含在投标人的投标报价中，签订合同时不得增补。报价可保留小数点后2位小数。</w:t>
      </w:r>
    </w:p>
    <w:p w14:paraId="365766B5">
      <w:pPr>
        <w:spacing w:line="276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4.付款方式：本采购项目无预付款，安装结束，经甲乙双方共同验收合格后，付至合同总额的100%。甲方付款前乙方需提供合法、有效、等额的增值税专用发票，否则甲方有权拒付相应款项。</w:t>
      </w:r>
    </w:p>
    <w:p w14:paraId="564EA884">
      <w:pPr>
        <w:adjustRightInd w:val="0"/>
        <w:snapToGrid w:val="0"/>
        <w:spacing w:line="276" w:lineRule="auto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七、开标时间、地点及评标原则</w:t>
      </w:r>
    </w:p>
    <w:p w14:paraId="10481E7C">
      <w:pPr>
        <w:spacing w:line="276" w:lineRule="auto"/>
        <w:ind w:firstLine="480" w:firstLineChars="200"/>
        <w:rPr>
          <w:rFonts w:hint="default" w:eastAsia="宋体" w:asciiTheme="minorEastAsia" w:hAnsiTheme="minorEastAsia"/>
          <w:sz w:val="24"/>
          <w:lang w:val="en-US" w:eastAsia="zh-CN"/>
        </w:rPr>
      </w:pPr>
      <w:r>
        <w:rPr>
          <w:rFonts w:hint="eastAsia" w:eastAsia="宋体" w:asciiTheme="minorEastAsia" w:hAnsiTheme="minorEastAsia"/>
          <w:sz w:val="24"/>
        </w:rPr>
        <w:t>1.时间：</w:t>
      </w:r>
      <w:r>
        <w:rPr>
          <w:rFonts w:hint="eastAsia" w:eastAsia="宋体" w:asciiTheme="minorEastAsia" w:hAnsiTheme="minorEastAsia"/>
          <w:sz w:val="24"/>
          <w:lang w:val="en-US" w:eastAsia="zh-CN"/>
        </w:rPr>
        <w:t>2026年</w:t>
      </w:r>
      <w:r>
        <w:rPr>
          <w:rFonts w:hint="eastAsia" w:asciiTheme="minorEastAsia" w:hAnsiTheme="minorEastAsia"/>
          <w:sz w:val="24"/>
          <w:lang w:val="en-US" w:eastAsia="zh-CN"/>
        </w:rPr>
        <w:t>10</w:t>
      </w:r>
      <w:r>
        <w:rPr>
          <w:rFonts w:hint="eastAsia" w:eastAsia="宋体" w:asciiTheme="minorEastAsia" w:hAnsiTheme="minorEastAsia"/>
          <w:sz w:val="24"/>
          <w:lang w:val="en-US" w:eastAsia="zh-CN"/>
        </w:rPr>
        <w:t>月</w:t>
      </w:r>
      <w:r>
        <w:rPr>
          <w:rFonts w:hint="eastAsia" w:asciiTheme="minorEastAsia" w:hAnsiTheme="minorEastAsia"/>
          <w:sz w:val="24"/>
          <w:lang w:val="en-US" w:eastAsia="zh-CN"/>
        </w:rPr>
        <w:t>20</w:t>
      </w:r>
      <w:r>
        <w:rPr>
          <w:rFonts w:hint="eastAsia" w:eastAsia="宋体" w:asciiTheme="minorEastAsia" w:hAnsiTheme="minorEastAsia"/>
          <w:sz w:val="24"/>
          <w:lang w:val="en-US" w:eastAsia="zh-CN"/>
        </w:rPr>
        <w:t>日下午3点</w:t>
      </w:r>
    </w:p>
    <w:p w14:paraId="1A1B60B9">
      <w:pPr>
        <w:spacing w:line="276" w:lineRule="auto"/>
        <w:ind w:firstLine="480" w:firstLineChars="200"/>
        <w:rPr>
          <w:rFonts w:hint="eastAsia" w:eastAsia="宋体" w:asciiTheme="minorEastAsia" w:hAnsiTheme="minorEastAsia"/>
          <w:sz w:val="24"/>
          <w:lang w:val="en-US" w:eastAsia="zh-CN"/>
        </w:rPr>
      </w:pPr>
      <w:r>
        <w:rPr>
          <w:rFonts w:hint="eastAsia" w:eastAsia="宋体" w:asciiTheme="minorEastAsia" w:hAnsiTheme="minorEastAsia"/>
          <w:sz w:val="24"/>
        </w:rPr>
        <w:t>2.地点：</w:t>
      </w:r>
      <w:r>
        <w:rPr>
          <w:rFonts w:hint="eastAsia" w:eastAsia="宋体" w:asciiTheme="minorEastAsia" w:hAnsiTheme="minorEastAsia"/>
          <w:sz w:val="24"/>
          <w:lang w:val="en-US" w:eastAsia="zh-CN"/>
        </w:rPr>
        <w:t>南京邮电大学仙林校区文科楼1</w:t>
      </w:r>
      <w:r>
        <w:rPr>
          <w:rFonts w:hint="eastAsia" w:asciiTheme="minorEastAsia" w:hAnsiTheme="minorEastAsia"/>
          <w:sz w:val="24"/>
          <w:lang w:val="en-US" w:eastAsia="zh-CN"/>
        </w:rPr>
        <w:t>1</w:t>
      </w:r>
      <w:r>
        <w:rPr>
          <w:rFonts w:hint="eastAsia" w:eastAsia="宋体" w:asciiTheme="minorEastAsia" w:hAnsiTheme="minorEastAsia"/>
          <w:sz w:val="24"/>
          <w:lang w:val="en-US" w:eastAsia="zh-CN"/>
        </w:rPr>
        <w:t xml:space="preserve">0 </w:t>
      </w:r>
    </w:p>
    <w:p w14:paraId="1F5583EB">
      <w:pPr>
        <w:spacing w:line="276" w:lineRule="auto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3.评标原则：根据最终报价、质量、服务等因素综合评定，按评审得分由高到低的原则确定成交供应商。（采购人根据项目特点在磋商文件中明确报价、质量、服务等评审因素的权重或分值）</w:t>
      </w:r>
    </w:p>
    <w:p w14:paraId="58203887">
      <w:pPr>
        <w:snapToGrid w:val="0"/>
        <w:spacing w:after="120" w:line="420" w:lineRule="exact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八、评分标准（最后附参考）</w:t>
      </w:r>
    </w:p>
    <w:p w14:paraId="59A87322">
      <w:pPr>
        <w:snapToGrid w:val="0"/>
        <w:spacing w:after="120" w:line="420" w:lineRule="exact"/>
        <w:rPr>
          <w:rFonts w:hint="eastAsia" w:asciiTheme="minorEastAsia" w:hAnsiTheme="minorEastAsia"/>
          <w:sz w:val="24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九</w:t>
      </w:r>
      <w:r>
        <w:rPr>
          <w:rFonts w:hint="eastAsia" w:ascii="宋体" w:hAnsi="宋体" w:cs="宋体"/>
          <w:sz w:val="24"/>
          <w:szCs w:val="24"/>
          <w:highlight w:val="none"/>
        </w:rPr>
        <w:t>、</w:t>
      </w:r>
      <w:r>
        <w:rPr>
          <w:rFonts w:hint="eastAsia" w:asciiTheme="minorEastAsia" w:hAnsiTheme="minorEastAsia"/>
          <w:sz w:val="24"/>
        </w:rPr>
        <w:t>联系人及联系方式</w:t>
      </w:r>
    </w:p>
    <w:p w14:paraId="38631E4F">
      <w:pPr>
        <w:adjustRightInd w:val="0"/>
        <w:snapToGrid w:val="0"/>
        <w:spacing w:line="276" w:lineRule="auto"/>
        <w:ind w:firstLine="420"/>
        <w:rPr>
          <w:rFonts w:hint="eastAsia" w:eastAsia="宋体" w:asciiTheme="minorEastAsia" w:hAnsiTheme="minorEastAsia"/>
          <w:sz w:val="24"/>
          <w:lang w:val="en-US" w:eastAsia="zh-CN"/>
        </w:rPr>
      </w:pPr>
      <w:r>
        <w:rPr>
          <w:rFonts w:hint="eastAsia" w:asciiTheme="minorEastAsia" w:hAnsiTheme="minorEastAsia"/>
          <w:sz w:val="24"/>
        </w:rPr>
        <w:t>联 系 人：</w:t>
      </w:r>
      <w:r>
        <w:rPr>
          <w:rFonts w:hint="eastAsia" w:asciiTheme="minorEastAsia" w:hAnsiTheme="minorEastAsia"/>
          <w:sz w:val="24"/>
          <w:lang w:val="en-US" w:eastAsia="zh-CN"/>
        </w:rPr>
        <w:t>谭维</w:t>
      </w:r>
    </w:p>
    <w:p w14:paraId="5D02FDC1">
      <w:pPr>
        <w:adjustRightInd w:val="0"/>
        <w:snapToGrid w:val="0"/>
        <w:spacing w:line="276" w:lineRule="auto"/>
        <w:ind w:firstLine="42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联系电话：</w:t>
      </w:r>
      <w:r>
        <w:rPr>
          <w:rFonts w:hint="eastAsia" w:asciiTheme="minorEastAsia" w:hAnsiTheme="minorEastAsia"/>
          <w:sz w:val="24"/>
          <w:lang w:val="en-US" w:eastAsia="zh-CN"/>
        </w:rPr>
        <w:t>18951984357</w:t>
      </w:r>
      <w:r>
        <w:rPr>
          <w:rFonts w:hint="eastAsia" w:asciiTheme="minorEastAsia" w:hAnsiTheme="minorEastAsia"/>
          <w:sz w:val="24"/>
        </w:rPr>
        <w:t xml:space="preserve">                 </w:t>
      </w:r>
      <w:r>
        <w:rPr>
          <w:rFonts w:asciiTheme="minorEastAsia" w:hAnsiTheme="minorEastAsia"/>
          <w:sz w:val="24"/>
        </w:rPr>
        <w:t>Email:</w:t>
      </w:r>
      <w:r>
        <w:rPr>
          <w:rFonts w:hint="eastAsia" w:asciiTheme="minorEastAsia" w:hAnsiTheme="minorEastAsia"/>
          <w:sz w:val="24"/>
          <w:lang w:val="en-US" w:eastAsia="zh-CN"/>
        </w:rPr>
        <w:t>tanw</w:t>
      </w:r>
      <w:r>
        <w:rPr>
          <w:rFonts w:hint="eastAsia"/>
          <w:spacing w:val="4"/>
          <w:lang w:val="en-US" w:eastAsia="zh-CN"/>
        </w:rPr>
        <w:t>@njupt.edu.cn</w:t>
      </w:r>
    </w:p>
    <w:p w14:paraId="37C14E9C">
      <w:pPr>
        <w:snapToGrid w:val="0"/>
        <w:spacing w:after="120" w:line="420" w:lineRule="exact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十、请供应商按磋商响应报价表格式报价并在开标时间前送达。</w:t>
      </w:r>
    </w:p>
    <w:p w14:paraId="4BBD0D91">
      <w:pPr>
        <w:pStyle w:val="3"/>
        <w:spacing w:before="74" w:line="218" w:lineRule="auto"/>
        <w:ind w:left="121"/>
        <w:jc w:val="center"/>
      </w:pPr>
      <w:r>
        <w:rPr>
          <w:b/>
          <w:bCs/>
          <w:spacing w:val="-2"/>
        </w:rPr>
        <w:t>磋商响应报价表（表格格式可根据项目特点自行设计）</w:t>
      </w:r>
    </w:p>
    <w:p w14:paraId="13E6AB0B">
      <w:pPr>
        <w:spacing w:line="76" w:lineRule="exact"/>
      </w:pPr>
    </w:p>
    <w:tbl>
      <w:tblPr>
        <w:tblStyle w:val="18"/>
        <w:tblW w:w="82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8"/>
        <w:gridCol w:w="2767"/>
        <w:gridCol w:w="648"/>
        <w:gridCol w:w="604"/>
        <w:gridCol w:w="759"/>
        <w:gridCol w:w="845"/>
        <w:gridCol w:w="2026"/>
      </w:tblGrid>
      <w:tr w14:paraId="2AD19C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608" w:type="dxa"/>
            <w:vAlign w:val="top"/>
          </w:tcPr>
          <w:p w14:paraId="0EF4171B">
            <w:pPr>
              <w:spacing w:before="111" w:line="231" w:lineRule="auto"/>
              <w:ind w:left="12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20"/>
                <w:szCs w:val="20"/>
              </w:rPr>
              <w:t>序号</w:t>
            </w:r>
          </w:p>
        </w:tc>
        <w:tc>
          <w:tcPr>
            <w:tcW w:w="2767" w:type="dxa"/>
            <w:vAlign w:val="top"/>
          </w:tcPr>
          <w:p w14:paraId="4F24757D">
            <w:pPr>
              <w:spacing w:before="111" w:line="229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z w:val="20"/>
                <w:szCs w:val="20"/>
              </w:rPr>
              <w:t>名称</w:t>
            </w:r>
          </w:p>
        </w:tc>
        <w:tc>
          <w:tcPr>
            <w:tcW w:w="648" w:type="dxa"/>
            <w:vAlign w:val="top"/>
          </w:tcPr>
          <w:p w14:paraId="45D57CC9">
            <w:pPr>
              <w:spacing w:before="111" w:line="229" w:lineRule="auto"/>
              <w:ind w:left="12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0"/>
                <w:szCs w:val="20"/>
              </w:rPr>
              <w:t>单位</w:t>
            </w:r>
          </w:p>
        </w:tc>
        <w:tc>
          <w:tcPr>
            <w:tcW w:w="604" w:type="dxa"/>
            <w:vAlign w:val="top"/>
          </w:tcPr>
          <w:p w14:paraId="060D235F">
            <w:pPr>
              <w:spacing w:before="110" w:line="232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20"/>
                <w:szCs w:val="20"/>
              </w:rPr>
              <w:t>数量</w:t>
            </w:r>
          </w:p>
        </w:tc>
        <w:tc>
          <w:tcPr>
            <w:tcW w:w="759" w:type="dxa"/>
            <w:vAlign w:val="top"/>
          </w:tcPr>
          <w:p w14:paraId="3F92DAC0">
            <w:pPr>
              <w:spacing w:before="111" w:line="229" w:lineRule="auto"/>
              <w:ind w:left="12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0"/>
                <w:szCs w:val="20"/>
              </w:rPr>
              <w:t>单价</w:t>
            </w:r>
          </w:p>
        </w:tc>
        <w:tc>
          <w:tcPr>
            <w:tcW w:w="845" w:type="dxa"/>
            <w:vAlign w:val="top"/>
          </w:tcPr>
          <w:p w14:paraId="1F4DD4A7">
            <w:pPr>
              <w:spacing w:before="111" w:line="231" w:lineRule="auto"/>
              <w:ind w:left="13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总价</w:t>
            </w:r>
          </w:p>
        </w:tc>
        <w:tc>
          <w:tcPr>
            <w:tcW w:w="2026" w:type="dxa"/>
            <w:vAlign w:val="top"/>
          </w:tcPr>
          <w:p w14:paraId="04EF5CF9">
            <w:pPr>
              <w:spacing w:before="111" w:line="233" w:lineRule="auto"/>
              <w:ind w:left="12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z w:val="20"/>
                <w:szCs w:val="20"/>
              </w:rPr>
              <w:t>备注</w:t>
            </w:r>
          </w:p>
        </w:tc>
      </w:tr>
      <w:tr w14:paraId="528405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608" w:type="dxa"/>
            <w:vAlign w:val="top"/>
          </w:tcPr>
          <w:p w14:paraId="79E7BCAC">
            <w:pPr>
              <w:pStyle w:val="19"/>
            </w:pPr>
          </w:p>
        </w:tc>
        <w:tc>
          <w:tcPr>
            <w:tcW w:w="2767" w:type="dxa"/>
            <w:vAlign w:val="top"/>
          </w:tcPr>
          <w:p w14:paraId="67F1FD7E">
            <w:pPr>
              <w:pStyle w:val="19"/>
            </w:pPr>
          </w:p>
        </w:tc>
        <w:tc>
          <w:tcPr>
            <w:tcW w:w="648" w:type="dxa"/>
            <w:vAlign w:val="top"/>
          </w:tcPr>
          <w:p w14:paraId="58B4A9AD">
            <w:pPr>
              <w:pStyle w:val="19"/>
            </w:pPr>
          </w:p>
        </w:tc>
        <w:tc>
          <w:tcPr>
            <w:tcW w:w="604" w:type="dxa"/>
            <w:vAlign w:val="top"/>
          </w:tcPr>
          <w:p w14:paraId="059371F9">
            <w:pPr>
              <w:pStyle w:val="19"/>
            </w:pPr>
          </w:p>
        </w:tc>
        <w:tc>
          <w:tcPr>
            <w:tcW w:w="759" w:type="dxa"/>
            <w:vAlign w:val="top"/>
          </w:tcPr>
          <w:p w14:paraId="7EDFD8A5">
            <w:pPr>
              <w:pStyle w:val="19"/>
            </w:pPr>
          </w:p>
        </w:tc>
        <w:tc>
          <w:tcPr>
            <w:tcW w:w="845" w:type="dxa"/>
            <w:vAlign w:val="top"/>
          </w:tcPr>
          <w:p w14:paraId="515D402C">
            <w:pPr>
              <w:pStyle w:val="19"/>
            </w:pPr>
          </w:p>
        </w:tc>
        <w:tc>
          <w:tcPr>
            <w:tcW w:w="2026" w:type="dxa"/>
            <w:vAlign w:val="top"/>
          </w:tcPr>
          <w:p w14:paraId="1CA029F9">
            <w:pPr>
              <w:pStyle w:val="19"/>
            </w:pPr>
          </w:p>
        </w:tc>
      </w:tr>
      <w:tr w14:paraId="25BB86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608" w:type="dxa"/>
            <w:vAlign w:val="top"/>
          </w:tcPr>
          <w:p w14:paraId="36F9360A">
            <w:pPr>
              <w:pStyle w:val="19"/>
            </w:pPr>
          </w:p>
        </w:tc>
        <w:tc>
          <w:tcPr>
            <w:tcW w:w="2767" w:type="dxa"/>
            <w:vAlign w:val="top"/>
          </w:tcPr>
          <w:p w14:paraId="4B37D52B">
            <w:pPr>
              <w:pStyle w:val="19"/>
            </w:pPr>
          </w:p>
        </w:tc>
        <w:tc>
          <w:tcPr>
            <w:tcW w:w="648" w:type="dxa"/>
            <w:vAlign w:val="top"/>
          </w:tcPr>
          <w:p w14:paraId="3F0953C7">
            <w:pPr>
              <w:pStyle w:val="19"/>
            </w:pPr>
          </w:p>
        </w:tc>
        <w:tc>
          <w:tcPr>
            <w:tcW w:w="604" w:type="dxa"/>
            <w:vAlign w:val="top"/>
          </w:tcPr>
          <w:p w14:paraId="4A241840">
            <w:pPr>
              <w:pStyle w:val="19"/>
            </w:pPr>
          </w:p>
        </w:tc>
        <w:tc>
          <w:tcPr>
            <w:tcW w:w="759" w:type="dxa"/>
            <w:vAlign w:val="top"/>
          </w:tcPr>
          <w:p w14:paraId="7C9C437C">
            <w:pPr>
              <w:pStyle w:val="19"/>
            </w:pPr>
          </w:p>
        </w:tc>
        <w:tc>
          <w:tcPr>
            <w:tcW w:w="845" w:type="dxa"/>
            <w:vAlign w:val="top"/>
          </w:tcPr>
          <w:p w14:paraId="3F1D3814">
            <w:pPr>
              <w:pStyle w:val="19"/>
            </w:pPr>
          </w:p>
        </w:tc>
        <w:tc>
          <w:tcPr>
            <w:tcW w:w="2026" w:type="dxa"/>
            <w:vAlign w:val="top"/>
          </w:tcPr>
          <w:p w14:paraId="21CA9AB0">
            <w:pPr>
              <w:pStyle w:val="19"/>
            </w:pPr>
          </w:p>
        </w:tc>
      </w:tr>
      <w:tr w14:paraId="610BC6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608" w:type="dxa"/>
            <w:vAlign w:val="top"/>
          </w:tcPr>
          <w:p w14:paraId="7FFD5875">
            <w:pPr>
              <w:pStyle w:val="19"/>
            </w:pPr>
          </w:p>
        </w:tc>
        <w:tc>
          <w:tcPr>
            <w:tcW w:w="2767" w:type="dxa"/>
            <w:vAlign w:val="top"/>
          </w:tcPr>
          <w:p w14:paraId="3C5EA58B">
            <w:pPr>
              <w:pStyle w:val="19"/>
            </w:pPr>
          </w:p>
        </w:tc>
        <w:tc>
          <w:tcPr>
            <w:tcW w:w="648" w:type="dxa"/>
            <w:vAlign w:val="top"/>
          </w:tcPr>
          <w:p w14:paraId="1E3EE9AD">
            <w:pPr>
              <w:pStyle w:val="19"/>
            </w:pPr>
          </w:p>
        </w:tc>
        <w:tc>
          <w:tcPr>
            <w:tcW w:w="604" w:type="dxa"/>
            <w:vAlign w:val="top"/>
          </w:tcPr>
          <w:p w14:paraId="33BB66D8">
            <w:pPr>
              <w:pStyle w:val="19"/>
            </w:pPr>
          </w:p>
        </w:tc>
        <w:tc>
          <w:tcPr>
            <w:tcW w:w="759" w:type="dxa"/>
            <w:vAlign w:val="top"/>
          </w:tcPr>
          <w:p w14:paraId="7858180E">
            <w:pPr>
              <w:pStyle w:val="19"/>
            </w:pPr>
          </w:p>
        </w:tc>
        <w:tc>
          <w:tcPr>
            <w:tcW w:w="845" w:type="dxa"/>
            <w:vAlign w:val="top"/>
          </w:tcPr>
          <w:p w14:paraId="36CB3192">
            <w:pPr>
              <w:pStyle w:val="19"/>
            </w:pPr>
          </w:p>
        </w:tc>
        <w:tc>
          <w:tcPr>
            <w:tcW w:w="2026" w:type="dxa"/>
            <w:vAlign w:val="top"/>
          </w:tcPr>
          <w:p w14:paraId="364B1701">
            <w:pPr>
              <w:pStyle w:val="19"/>
            </w:pPr>
          </w:p>
        </w:tc>
      </w:tr>
      <w:tr w14:paraId="409490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608" w:type="dxa"/>
            <w:vAlign w:val="top"/>
          </w:tcPr>
          <w:p w14:paraId="7DF687A1">
            <w:pPr>
              <w:pStyle w:val="19"/>
            </w:pPr>
          </w:p>
        </w:tc>
        <w:tc>
          <w:tcPr>
            <w:tcW w:w="2767" w:type="dxa"/>
            <w:vAlign w:val="top"/>
          </w:tcPr>
          <w:p w14:paraId="3024921F">
            <w:pPr>
              <w:pStyle w:val="19"/>
            </w:pPr>
          </w:p>
        </w:tc>
        <w:tc>
          <w:tcPr>
            <w:tcW w:w="648" w:type="dxa"/>
            <w:vAlign w:val="top"/>
          </w:tcPr>
          <w:p w14:paraId="49503AA9">
            <w:pPr>
              <w:pStyle w:val="19"/>
            </w:pPr>
          </w:p>
        </w:tc>
        <w:tc>
          <w:tcPr>
            <w:tcW w:w="604" w:type="dxa"/>
            <w:vAlign w:val="top"/>
          </w:tcPr>
          <w:p w14:paraId="76A5CC2B">
            <w:pPr>
              <w:pStyle w:val="19"/>
            </w:pPr>
          </w:p>
        </w:tc>
        <w:tc>
          <w:tcPr>
            <w:tcW w:w="759" w:type="dxa"/>
            <w:vAlign w:val="top"/>
          </w:tcPr>
          <w:p w14:paraId="69E20D96">
            <w:pPr>
              <w:pStyle w:val="19"/>
            </w:pPr>
          </w:p>
        </w:tc>
        <w:tc>
          <w:tcPr>
            <w:tcW w:w="845" w:type="dxa"/>
            <w:vAlign w:val="top"/>
          </w:tcPr>
          <w:p w14:paraId="07FE6307">
            <w:pPr>
              <w:pStyle w:val="19"/>
            </w:pPr>
          </w:p>
        </w:tc>
        <w:tc>
          <w:tcPr>
            <w:tcW w:w="2026" w:type="dxa"/>
            <w:vAlign w:val="top"/>
          </w:tcPr>
          <w:p w14:paraId="4D528A15">
            <w:pPr>
              <w:pStyle w:val="19"/>
            </w:pPr>
          </w:p>
        </w:tc>
      </w:tr>
      <w:tr w14:paraId="6354E6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608" w:type="dxa"/>
            <w:vAlign w:val="top"/>
          </w:tcPr>
          <w:p w14:paraId="0278B095">
            <w:pPr>
              <w:spacing w:before="123" w:line="231" w:lineRule="auto"/>
              <w:ind w:left="13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总价</w:t>
            </w:r>
          </w:p>
        </w:tc>
        <w:tc>
          <w:tcPr>
            <w:tcW w:w="2767" w:type="dxa"/>
            <w:vAlign w:val="top"/>
          </w:tcPr>
          <w:p w14:paraId="6A4DB9BB">
            <w:pPr>
              <w:pStyle w:val="19"/>
            </w:pPr>
          </w:p>
        </w:tc>
        <w:tc>
          <w:tcPr>
            <w:tcW w:w="4882" w:type="dxa"/>
            <w:gridSpan w:val="5"/>
            <w:vAlign w:val="top"/>
          </w:tcPr>
          <w:p w14:paraId="7140AE27">
            <w:pPr>
              <w:pStyle w:val="19"/>
            </w:pPr>
          </w:p>
        </w:tc>
      </w:tr>
    </w:tbl>
    <w:p w14:paraId="68C90A8F">
      <w:pPr>
        <w:adjustRightInd w:val="0"/>
        <w:snapToGrid w:val="0"/>
        <w:ind w:firstLine="480" w:firstLineChars="200"/>
        <w:rPr>
          <w:rFonts w:asciiTheme="minorEastAsia" w:hAnsiTheme="minorEastAsia"/>
          <w:sz w:val="24"/>
        </w:rPr>
      </w:pPr>
    </w:p>
    <w:p w14:paraId="74D3366C">
      <w:pPr>
        <w:adjustRightInd w:val="0"/>
        <w:snapToGrid w:val="0"/>
        <w:ind w:firstLine="3360" w:firstLineChars="14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供应商名称：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4"/>
        </w:rPr>
        <w:t>（盖单位公章）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      </w:t>
      </w:r>
    </w:p>
    <w:p w14:paraId="66E850E7">
      <w:pPr>
        <w:adjustRightInd w:val="0"/>
        <w:snapToGrid w:val="0"/>
        <w:ind w:firstLine="3360" w:firstLineChars="14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法定代表人或授权代表（签字或盖章）：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</w:t>
      </w:r>
    </w:p>
    <w:p w14:paraId="45043C7C">
      <w:pPr>
        <w:adjustRightInd w:val="0"/>
        <w:snapToGrid w:val="0"/>
        <w:ind w:firstLine="3360" w:firstLineChars="14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日      期：</w:t>
      </w:r>
      <w:r>
        <w:rPr>
          <w:rFonts w:hint="eastAsia" w:asciiTheme="minorEastAsia" w:hAnsiTheme="minorEastAsia"/>
          <w:sz w:val="24"/>
          <w:highlight w:val="none"/>
          <w:lang w:val="en-US" w:eastAsia="zh-CN"/>
        </w:rPr>
        <w:t xml:space="preserve">      </w:t>
      </w:r>
      <w:r>
        <w:rPr>
          <w:rFonts w:hint="eastAsia" w:asciiTheme="minorEastAsia" w:hAnsiTheme="minorEastAsia"/>
          <w:sz w:val="24"/>
          <w:highlight w:val="none"/>
        </w:rPr>
        <w:t>年</w:t>
      </w:r>
      <w:r>
        <w:rPr>
          <w:rFonts w:hint="eastAsia" w:asciiTheme="minorEastAsia" w:hAnsiTheme="minorEastAsia"/>
          <w:sz w:val="24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4"/>
          <w:highlight w:val="none"/>
        </w:rPr>
        <w:t>月</w:t>
      </w:r>
      <w:r>
        <w:rPr>
          <w:rFonts w:hint="eastAsia" w:asciiTheme="minorEastAsia" w:hAnsiTheme="minorEastAsia"/>
          <w:sz w:val="24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4"/>
          <w:highlight w:val="none"/>
        </w:rPr>
        <w:t xml:space="preserve">日 </w:t>
      </w:r>
    </w:p>
    <w:p w14:paraId="0B762D3F">
      <w:pPr>
        <w:adjustRightInd w:val="0"/>
        <w:snapToGrid w:val="0"/>
        <w:spacing w:line="276" w:lineRule="auto"/>
        <w:rPr>
          <w:rFonts w:asciiTheme="minorEastAsia" w:hAnsiTheme="minorEastAsia"/>
          <w:sz w:val="24"/>
        </w:rPr>
      </w:pPr>
    </w:p>
    <w:p w14:paraId="2C962009">
      <w:pPr>
        <w:adjustRightInd w:val="0"/>
        <w:snapToGrid w:val="0"/>
        <w:ind w:firstLine="480" w:firstLineChars="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价格构成、报价要求：所有报价均用人民币表示,所报价格是交付地的验收价格，其总价即为履行合同的固定价格，包括原有旧设备拆除、辅材、运输、安装、调试、检验、培训、税金和保险等一切费用。</w:t>
      </w:r>
    </w:p>
    <w:p w14:paraId="550BF226">
      <w:pPr>
        <w:adjustRightInd w:val="0"/>
        <w:snapToGrid w:val="0"/>
        <w:ind w:firstLine="480" w:firstLineChars="200"/>
        <w:rPr>
          <w:rFonts w:hint="eastAsia" w:asciiTheme="minorEastAsia" w:hAnsiTheme="minorEastAsia"/>
          <w:b/>
          <w:sz w:val="24"/>
        </w:rPr>
      </w:pPr>
      <w:r>
        <w:rPr>
          <w:rFonts w:hint="eastAsia" w:asciiTheme="minorEastAsia" w:hAnsiTheme="minorEastAsia"/>
          <w:sz w:val="24"/>
        </w:rPr>
        <w:t>此表可以根据需要自行增减行数，且</w:t>
      </w:r>
      <w:r>
        <w:rPr>
          <w:rFonts w:hint="eastAsia" w:asciiTheme="minorEastAsia" w:hAnsiTheme="minorEastAsia"/>
          <w:b/>
          <w:sz w:val="24"/>
        </w:rPr>
        <w:t>该表报价非本次磋商中的最后报价。</w:t>
      </w:r>
    </w:p>
    <w:p w14:paraId="467109D9">
      <w:pPr>
        <w:adjustRightInd w:val="0"/>
        <w:snapToGrid w:val="0"/>
        <w:ind w:firstLine="482" w:firstLineChars="200"/>
        <w:rPr>
          <w:rFonts w:hint="eastAsia" w:asciiTheme="minorEastAsia" w:hAnsiTheme="minorEastAsia"/>
          <w:b/>
          <w:sz w:val="24"/>
        </w:rPr>
      </w:pPr>
    </w:p>
    <w:p w14:paraId="28A72B11">
      <w:pPr>
        <w:spacing w:line="288" w:lineRule="auto"/>
        <w:ind w:left="0" w:leftChars="0" w:firstLine="0" w:firstLineChars="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C575D0A">
      <w:pPr>
        <w:spacing w:line="288" w:lineRule="auto"/>
        <w:ind w:left="0" w:leftChars="0" w:firstLine="0" w:firstLineChars="0"/>
        <w:jc w:val="both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附件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：</w:t>
      </w:r>
      <w:r>
        <w:rPr>
          <w:rFonts w:hint="eastAsia" w:ascii="宋体" w:hAnsi="宋体" w:cs="宋体"/>
          <w:sz w:val="24"/>
          <w:szCs w:val="24"/>
        </w:rPr>
        <w:t xml:space="preserve">南京邮电大学通达学院 </w:t>
      </w:r>
      <w:r>
        <w:rPr>
          <w:rFonts w:hint="eastAsia" w:ascii="宋体" w:hAnsi="宋体" w:cs="宋体"/>
          <w:sz w:val="24"/>
          <w:szCs w:val="24"/>
          <w:lang w:eastAsia="zh-CN"/>
        </w:rPr>
        <w:t>《UI界面设计》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数智融合课程</w:t>
      </w:r>
      <w:r>
        <w:rPr>
          <w:rFonts w:hint="eastAsia" w:ascii="宋体" w:hAnsi="宋体" w:cs="宋体"/>
          <w:sz w:val="24"/>
          <w:szCs w:val="24"/>
          <w:lang w:eastAsia="zh-CN"/>
        </w:rPr>
        <w:t>建设</w:t>
      </w:r>
      <w:r>
        <w:rPr>
          <w:rFonts w:hint="eastAsia" w:ascii="宋体" w:hAnsi="宋体" w:cs="宋体"/>
          <w:sz w:val="24"/>
          <w:szCs w:val="24"/>
        </w:rPr>
        <w:t>项目竞争性磋商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公告</w:t>
      </w:r>
    </w:p>
    <w:p w14:paraId="0A169371">
      <w:pPr>
        <w:spacing w:line="288" w:lineRule="auto"/>
        <w:ind w:left="0" w:leftChars="0" w:firstLine="0" w:firstLineChars="0"/>
        <w:jc w:val="both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附件2：南京邮电大学通达学院《UI界面设计》数智融合课程建设项目评分标准</w:t>
      </w:r>
    </w:p>
    <w:p w14:paraId="6E67B691">
      <w:pPr>
        <w:adjustRightInd w:val="0"/>
        <w:snapToGrid w:val="0"/>
        <w:rPr>
          <w:rFonts w:hint="eastAsia" w:asciiTheme="minorEastAsia" w:hAnsiTheme="minorEastAsia"/>
          <w:b/>
          <w:sz w:val="24"/>
        </w:rPr>
      </w:pPr>
    </w:p>
    <w:p w14:paraId="4185A424">
      <w:pPr>
        <w:adjustRightInd w:val="0"/>
        <w:snapToGrid w:val="0"/>
        <w:rPr>
          <w:rFonts w:asciiTheme="minorEastAsia" w:hAnsiTheme="minorEastAsia"/>
          <w:sz w:val="24"/>
        </w:rPr>
      </w:pPr>
    </w:p>
    <w:p w14:paraId="61772112">
      <w:pPr>
        <w:shd w:val="clear" w:color="auto" w:fill="FFFFFF"/>
        <w:wordWrap w:val="0"/>
        <w:adjustRightInd w:val="0"/>
        <w:snapToGrid w:val="0"/>
        <w:spacing w:before="100" w:beforeAutospacing="1" w:line="276" w:lineRule="auto"/>
        <w:ind w:left="383"/>
        <w:jc w:val="right"/>
        <w:rPr>
          <w:rFonts w:hint="eastAsia" w:asciiTheme="minorEastAsia" w:hAnsiTheme="minorEastAsia"/>
          <w:sz w:val="24"/>
          <w:lang w:val="en-US" w:eastAsia="zh-CN"/>
        </w:rPr>
      </w:pPr>
      <w:r>
        <w:rPr>
          <w:rFonts w:hint="eastAsia" w:asciiTheme="minorEastAsia" w:hAnsiTheme="minorEastAsia"/>
          <w:sz w:val="24"/>
          <w:lang w:val="en-US" w:eastAsia="zh-CN"/>
        </w:rPr>
        <w:t>南京邮电大学通达学院</w:t>
      </w:r>
    </w:p>
    <w:p w14:paraId="44AF2951">
      <w:pPr>
        <w:shd w:val="clear" w:color="auto" w:fill="FFFFFF"/>
        <w:wordWrap w:val="0"/>
        <w:adjustRightInd w:val="0"/>
        <w:snapToGrid w:val="0"/>
        <w:spacing w:before="100" w:beforeAutospacing="1" w:line="276" w:lineRule="auto"/>
        <w:ind w:left="383"/>
        <w:jc w:val="right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  <w:lang w:val="en-US" w:eastAsia="zh-CN"/>
        </w:rPr>
        <w:t>2026</w:t>
      </w:r>
      <w:r>
        <w:rPr>
          <w:rFonts w:hint="eastAsia" w:asciiTheme="minorEastAsia" w:hAnsiTheme="minorEastAsia"/>
          <w:sz w:val="24"/>
        </w:rPr>
        <w:t>年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10 </w:t>
      </w:r>
      <w:r>
        <w:rPr>
          <w:rFonts w:hint="eastAsia" w:asciiTheme="minorEastAsia" w:hAnsiTheme="minorEastAsia"/>
          <w:sz w:val="24"/>
        </w:rPr>
        <w:t>月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10</w:t>
      </w:r>
      <w:r>
        <w:rPr>
          <w:rFonts w:hint="eastAsia" w:asciiTheme="minorEastAsia" w:hAnsiTheme="minorEastAsia"/>
          <w:sz w:val="24"/>
        </w:rPr>
        <w:t xml:space="preserve"> 日</w:t>
      </w:r>
    </w:p>
    <w:p w14:paraId="170A592A">
      <w:pPr>
        <w:spacing w:line="480" w:lineRule="exact"/>
        <w:ind w:firstLine="482" w:firstLineChars="200"/>
        <w:rPr>
          <w:rFonts w:hint="eastAsia" w:ascii="宋体" w:hAnsi="宋体"/>
          <w:b/>
          <w:sz w:val="24"/>
        </w:rPr>
      </w:pPr>
    </w:p>
    <w:p w14:paraId="05503C07">
      <w:pPr>
        <w:spacing w:line="480" w:lineRule="exact"/>
        <w:ind w:firstLine="482" w:firstLineChars="200"/>
        <w:rPr>
          <w:rFonts w:hint="eastAsia" w:ascii="宋体" w:hAnsi="宋体"/>
          <w:b/>
          <w:sz w:val="24"/>
        </w:rPr>
      </w:pPr>
    </w:p>
    <w:p w14:paraId="0ACCAC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AB47F3"/>
    <w:rsid w:val="00014C76"/>
    <w:rsid w:val="0014095D"/>
    <w:rsid w:val="00191C4A"/>
    <w:rsid w:val="001F539D"/>
    <w:rsid w:val="00254C3D"/>
    <w:rsid w:val="002F3620"/>
    <w:rsid w:val="003532DE"/>
    <w:rsid w:val="00375EB7"/>
    <w:rsid w:val="003F5DBA"/>
    <w:rsid w:val="00410A74"/>
    <w:rsid w:val="0047422C"/>
    <w:rsid w:val="00482C58"/>
    <w:rsid w:val="004C6873"/>
    <w:rsid w:val="004E0E61"/>
    <w:rsid w:val="004F111A"/>
    <w:rsid w:val="005241D2"/>
    <w:rsid w:val="0053304C"/>
    <w:rsid w:val="0056543F"/>
    <w:rsid w:val="0058651B"/>
    <w:rsid w:val="00587858"/>
    <w:rsid w:val="005D7ED6"/>
    <w:rsid w:val="005F32C8"/>
    <w:rsid w:val="00605D3F"/>
    <w:rsid w:val="006C25D2"/>
    <w:rsid w:val="008005C9"/>
    <w:rsid w:val="00861FB8"/>
    <w:rsid w:val="008A79BB"/>
    <w:rsid w:val="008C2EAD"/>
    <w:rsid w:val="008E3836"/>
    <w:rsid w:val="00937ECE"/>
    <w:rsid w:val="00A0513C"/>
    <w:rsid w:val="00A5223D"/>
    <w:rsid w:val="00A72ADF"/>
    <w:rsid w:val="00BB44F8"/>
    <w:rsid w:val="00BE0DCB"/>
    <w:rsid w:val="00BF44FB"/>
    <w:rsid w:val="00C26FE0"/>
    <w:rsid w:val="00C37078"/>
    <w:rsid w:val="00CF3AA6"/>
    <w:rsid w:val="00D3604C"/>
    <w:rsid w:val="00D833B1"/>
    <w:rsid w:val="00E15674"/>
    <w:rsid w:val="00E6189A"/>
    <w:rsid w:val="00E826BE"/>
    <w:rsid w:val="00E939FB"/>
    <w:rsid w:val="00EC43B4"/>
    <w:rsid w:val="00F01AE1"/>
    <w:rsid w:val="067A3A86"/>
    <w:rsid w:val="06BA0522"/>
    <w:rsid w:val="07BF46B0"/>
    <w:rsid w:val="08642CC0"/>
    <w:rsid w:val="112C33BF"/>
    <w:rsid w:val="115744BC"/>
    <w:rsid w:val="158C2E9E"/>
    <w:rsid w:val="1734145E"/>
    <w:rsid w:val="1D215461"/>
    <w:rsid w:val="1DD836CC"/>
    <w:rsid w:val="1E0D4FE1"/>
    <w:rsid w:val="1F222C62"/>
    <w:rsid w:val="21B4182C"/>
    <w:rsid w:val="2F5B5E42"/>
    <w:rsid w:val="32A5066E"/>
    <w:rsid w:val="34AB47F3"/>
    <w:rsid w:val="39B639F0"/>
    <w:rsid w:val="3A8C5D2A"/>
    <w:rsid w:val="3C903186"/>
    <w:rsid w:val="40710E5E"/>
    <w:rsid w:val="419F4074"/>
    <w:rsid w:val="4A8D765C"/>
    <w:rsid w:val="4AB123E9"/>
    <w:rsid w:val="4B16359B"/>
    <w:rsid w:val="4F7B50C1"/>
    <w:rsid w:val="625C7675"/>
    <w:rsid w:val="69EC47DE"/>
    <w:rsid w:val="6B334186"/>
    <w:rsid w:val="6BC97D54"/>
    <w:rsid w:val="6C027255"/>
    <w:rsid w:val="724059FD"/>
    <w:rsid w:val="73AA5DF1"/>
    <w:rsid w:val="7D6A77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unhideWhenUsed/>
    <w:qFormat/>
    <w:uiPriority w:val="39"/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9">
    <w:name w:val="annotation subject"/>
    <w:basedOn w:val="2"/>
    <w:next w:val="2"/>
    <w:link w:val="16"/>
    <w:qFormat/>
    <w:uiPriority w:val="0"/>
    <w:rPr>
      <w:b/>
      <w:bCs/>
    </w:r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character" w:customStyle="1" w:styleId="13">
    <w:name w:val="页眉 Char"/>
    <w:basedOn w:val="11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页脚 Char"/>
    <w:basedOn w:val="11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5">
    <w:name w:val="批注文字 Char"/>
    <w:basedOn w:val="11"/>
    <w:link w:val="2"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character" w:customStyle="1" w:styleId="16">
    <w:name w:val="批注主题 Char"/>
    <w:basedOn w:val="15"/>
    <w:link w:val="9"/>
    <w:qFormat/>
    <w:uiPriority w:val="0"/>
    <w:rPr>
      <w:b/>
      <w:bCs/>
    </w:rPr>
  </w:style>
  <w:style w:type="character" w:customStyle="1" w:styleId="17">
    <w:name w:val="批注框文本 Char"/>
    <w:basedOn w:val="11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table" w:customStyle="1" w:styleId="1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1871</Words>
  <Characters>1969</Characters>
  <Lines>12</Lines>
  <Paragraphs>3</Paragraphs>
  <TotalTime>2</TotalTime>
  <ScaleCrop>false</ScaleCrop>
  <LinksUpToDate>false</LinksUpToDate>
  <CharactersWithSpaces>2038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2021-10-20T09:02:00Z</dcterms:created>
  <dc:creator>通达袁</dc:creator>
  <cp:lastModifiedBy>谭惟度</cp:lastModifiedBy>
  <dcterms:modified xsi:type="dcterms:W3CDTF">2026-10-10T09:43:21Z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A1C498257C0E49AC94AED4EFB05ACFBE_13</vt:lpwstr>
  </property>
  <property fmtid="{D5CDD505-2E9C-101B-9397-08002B2CF9AE}" pid="4" name="KSOTemplateDocerSaveRecord">
    <vt:lpwstr>eyJoZGlkIjoiMDYwZTJjNzUyYmI4MDVlNmU3YzBjOWNiNmZiNzQ4ZjIiLCJ1c2VySWQiOiI0ODYyMjA2NzgifQ==</vt:lpwstr>
  </property>
</Properties>
</file>